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AFC3" w14:textId="77777777" w:rsidR="00B16D35" w:rsidRDefault="00B16D35" w:rsidP="00B16D3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726FA514" w14:textId="77777777" w:rsidR="00B16D35" w:rsidRPr="00B304E9" w:rsidRDefault="00B16D35" w:rsidP="00B16D3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01CD6EB" w14:textId="77777777" w:rsidR="00B16D35" w:rsidRDefault="00B16D35" w:rsidP="00B16D35">
      <w:pPr>
        <w:rPr>
          <w:rFonts w:ascii="Cambria" w:hAnsi="Cambria" w:cs="Arial"/>
          <w:b/>
          <w:sz w:val="40"/>
          <w:szCs w:val="40"/>
        </w:rPr>
      </w:pPr>
    </w:p>
    <w:p w14:paraId="2D6DC984" w14:textId="77777777" w:rsidR="00B16D35" w:rsidRPr="004C3570" w:rsidRDefault="00B16D35" w:rsidP="00B16D35">
      <w:pPr>
        <w:rPr>
          <w:rFonts w:ascii="Cambria" w:hAnsi="Cambria" w:cs="Arial"/>
          <w:b/>
          <w:sz w:val="40"/>
          <w:szCs w:val="40"/>
        </w:rPr>
      </w:pPr>
    </w:p>
    <w:p w14:paraId="67D8A61E" w14:textId="77777777" w:rsidR="00B16D35" w:rsidRPr="004C3570" w:rsidRDefault="00B16D35" w:rsidP="00B16D3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7D69AC94" w14:textId="77777777" w:rsidR="00B16D35" w:rsidRPr="004C3570" w:rsidRDefault="00B16D35" w:rsidP="00B16D3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805A7F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8C4512">
        <w:rPr>
          <w:rFonts w:ascii="Cambria" w:hAnsi="Cambria" w:cs="MyriadPro-Black"/>
          <w:caps/>
          <w:sz w:val="60"/>
          <w:szCs w:val="60"/>
        </w:rPr>
        <w:t>CLLD</w:t>
      </w:r>
    </w:p>
    <w:p w14:paraId="5A0EA83E" w14:textId="77777777" w:rsidR="00B16D35" w:rsidRDefault="00B16D35" w:rsidP="00B16D3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F5943BD" w14:textId="77777777" w:rsidR="00B16D35" w:rsidRDefault="00B16D35" w:rsidP="00B16D3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E88951C" w14:textId="77777777" w:rsidR="00B16D35" w:rsidRPr="004A011E" w:rsidRDefault="00EC0C83" w:rsidP="00B16D35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B877FD">
        <w:rPr>
          <w:rFonts w:ascii="Cambria" w:hAnsi="Cambria" w:cs="MyriadPro-Black"/>
          <w:caps/>
          <w:color w:val="A6A6A6"/>
          <w:sz w:val="40"/>
          <w:szCs w:val="40"/>
        </w:rPr>
        <w:t>4</w:t>
      </w:r>
      <w:r w:rsidR="00B16D35" w:rsidRPr="004A011E">
        <w:rPr>
          <w:rFonts w:ascii="Cambria" w:hAnsi="Cambria" w:cs="MyriadPro-Black"/>
          <w:caps/>
          <w:color w:val="A6A6A6"/>
          <w:sz w:val="40"/>
          <w:szCs w:val="40"/>
        </w:rPr>
        <w:t>.</w:t>
      </w:r>
      <w:r>
        <w:rPr>
          <w:rFonts w:ascii="Cambria" w:hAnsi="Cambria" w:cs="MyriadPro-Black"/>
          <w:caps/>
          <w:color w:val="A6A6A6"/>
          <w:sz w:val="40"/>
          <w:szCs w:val="40"/>
        </w:rPr>
        <w:t>1</w:t>
      </w:r>
    </w:p>
    <w:p w14:paraId="78CD18ED" w14:textId="77777777" w:rsidR="00B16D35" w:rsidRPr="004A011E" w:rsidRDefault="00471A9E" w:rsidP="00B16D3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B16D3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81408">
        <w:rPr>
          <w:rFonts w:ascii="Cambria" w:hAnsi="Cambria" w:cs="MyriadPro-Black"/>
          <w:caps/>
          <w:color w:val="A6A6A6"/>
          <w:sz w:val="40"/>
          <w:szCs w:val="40"/>
        </w:rPr>
        <w:t>55</w:t>
      </w:r>
    </w:p>
    <w:p w14:paraId="6F42406B" w14:textId="77777777" w:rsidR="00B16D35" w:rsidRPr="004C3570" w:rsidRDefault="00B16D35" w:rsidP="00B16D3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BAE40AE" w14:textId="77777777" w:rsidR="00B16D35" w:rsidRPr="004C3570" w:rsidRDefault="00B16D35" w:rsidP="00B16D3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 w:rsidR="00193B05"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193B05" w:rsidRPr="00193B05">
        <w:rPr>
          <w:rFonts w:ascii="Cambria" w:hAnsi="Cambria" w:cs="MyriadPro-Black"/>
          <w:caps/>
          <w:color w:val="auto"/>
          <w:sz w:val="40"/>
          <w:szCs w:val="40"/>
        </w:rPr>
        <w:t>3</w:t>
      </w:r>
    </w:p>
    <w:p w14:paraId="46F43E22" w14:textId="77777777" w:rsidR="00B16D35" w:rsidRPr="004C3570" w:rsidRDefault="00B16D35" w:rsidP="00B16D3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3007FE9" w14:textId="77777777" w:rsidR="00B16D35" w:rsidRPr="004C3570" w:rsidRDefault="00B16D35" w:rsidP="00B16D3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Metodické listy indikátorů</w:t>
      </w:r>
    </w:p>
    <w:p w14:paraId="6537D426" w14:textId="77777777" w:rsidR="00B16D35" w:rsidRDefault="00B16D35" w:rsidP="00B16D35">
      <w:pPr>
        <w:pStyle w:val="Default"/>
        <w:spacing w:line="276" w:lineRule="auto"/>
        <w:jc w:val="center"/>
      </w:pPr>
    </w:p>
    <w:p w14:paraId="29D2B316" w14:textId="77777777" w:rsidR="00B16D35" w:rsidRDefault="00B16D35" w:rsidP="00B16D35">
      <w:pPr>
        <w:pStyle w:val="Default"/>
        <w:spacing w:line="276" w:lineRule="auto"/>
        <w:jc w:val="center"/>
      </w:pPr>
    </w:p>
    <w:p w14:paraId="132D2172" w14:textId="77777777" w:rsidR="00B16D35" w:rsidRDefault="00B16D35" w:rsidP="00B16D35">
      <w:pPr>
        <w:pStyle w:val="Default"/>
        <w:spacing w:line="276" w:lineRule="auto"/>
        <w:jc w:val="center"/>
      </w:pPr>
    </w:p>
    <w:p w14:paraId="4568CCB5" w14:textId="77777777" w:rsidR="00B16D35" w:rsidRDefault="00B16D35" w:rsidP="00B16D35">
      <w:pPr>
        <w:pStyle w:val="Default"/>
        <w:spacing w:line="276" w:lineRule="auto"/>
        <w:jc w:val="center"/>
        <w:rPr>
          <w:rFonts w:ascii="Cambria" w:hAnsi="Cambria"/>
        </w:rPr>
      </w:pPr>
    </w:p>
    <w:p w14:paraId="608221BB" w14:textId="77777777" w:rsidR="00B16D35" w:rsidRDefault="00B16D35" w:rsidP="00B16D35">
      <w:pPr>
        <w:pStyle w:val="Default"/>
        <w:spacing w:line="276" w:lineRule="auto"/>
        <w:jc w:val="center"/>
        <w:rPr>
          <w:rFonts w:ascii="Cambria" w:hAnsi="Cambria"/>
        </w:rPr>
      </w:pPr>
    </w:p>
    <w:p w14:paraId="7B54E4F0" w14:textId="77777777" w:rsidR="00B16D35" w:rsidRDefault="00B16D35" w:rsidP="00B16D35">
      <w:pPr>
        <w:pStyle w:val="Default"/>
        <w:spacing w:line="276" w:lineRule="auto"/>
        <w:jc w:val="center"/>
        <w:rPr>
          <w:rFonts w:ascii="Cambria" w:hAnsi="Cambria"/>
        </w:rPr>
      </w:pPr>
    </w:p>
    <w:p w14:paraId="02DFBB82" w14:textId="77777777" w:rsidR="00B16D35" w:rsidRDefault="00B16D35" w:rsidP="00B16D35">
      <w:pPr>
        <w:pStyle w:val="Default"/>
        <w:spacing w:line="276" w:lineRule="auto"/>
        <w:jc w:val="center"/>
        <w:rPr>
          <w:rFonts w:ascii="Cambria" w:hAnsi="Cambria"/>
        </w:rPr>
      </w:pPr>
    </w:p>
    <w:p w14:paraId="5C29287E" w14:textId="77777777" w:rsidR="00C44907" w:rsidRPr="000842A7" w:rsidRDefault="00C44907" w:rsidP="000842A7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2034171" w14:textId="57C8C4C0" w:rsidR="00B16D35" w:rsidRDefault="00B16D35" w:rsidP="00B16D35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0842A7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61E6F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C26C1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B61E6F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C26C13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745465">
        <w:rPr>
          <w:rFonts w:ascii="Cambria" w:hAnsi="Cambria" w:cs="MyriadPro-Black"/>
          <w:caps/>
          <w:color w:val="A6A6A6"/>
          <w:sz w:val="32"/>
          <w:szCs w:val="40"/>
        </w:rPr>
        <w:t>8</w:t>
      </w:r>
      <w:bookmarkStart w:id="5" w:name="_GoBack"/>
      <w:bookmarkEnd w:id="5"/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EC0C83" w:rsidRPr="0098535B" w14:paraId="0BEB059D" w14:textId="77777777" w:rsidTr="00F2693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1F26A76" w14:textId="77777777" w:rsidR="00EC0C83" w:rsidRPr="0098535B" w:rsidRDefault="00007C56" w:rsidP="00F2693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A6A6A6"/>
                <w:sz w:val="40"/>
                <w:szCs w:val="40"/>
              </w:rPr>
              <w:lastRenderedPageBreak/>
              <w:br w:type="page"/>
            </w:r>
            <w:bookmarkEnd w:id="0"/>
            <w:bookmarkEnd w:id="1"/>
            <w:bookmarkEnd w:id="2"/>
            <w:bookmarkEnd w:id="3"/>
            <w:bookmarkEnd w:id="4"/>
            <w:r w:rsidR="00EC0C83"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 w:rsidR="00EC0C83"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EC0C83" w:rsidRPr="0098535B" w14:paraId="739E756B" w14:textId="77777777" w:rsidTr="00F2693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431C38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C0C83" w:rsidRPr="0098535B" w14:paraId="52EDAA60" w14:textId="77777777" w:rsidTr="00F2693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0B8B59" w14:textId="77777777" w:rsidR="00EC0C83" w:rsidRPr="00194C06" w:rsidRDefault="00EC0C83" w:rsidP="00F2693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6C07E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Zvýšení očekávaného počtu návštěv podporovaných kulturních a přírodních památek a atrakcí</w:t>
            </w:r>
          </w:p>
        </w:tc>
      </w:tr>
      <w:tr w:rsidR="00EC0C83" w:rsidRPr="0098535B" w14:paraId="6E79D617" w14:textId="77777777" w:rsidTr="00F2693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2AE04F0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00196B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DBFA7C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254501" w14:textId="77777777" w:rsidR="00EC0C83" w:rsidRPr="0098535B" w:rsidRDefault="00EC0C83" w:rsidP="00F2693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5D52F06" w14:textId="77777777" w:rsidR="00EC0C83" w:rsidRPr="0098535B" w:rsidRDefault="00EC0C83" w:rsidP="00F2693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EC0C83" w:rsidRPr="0098535B" w14:paraId="4BB9516F" w14:textId="77777777" w:rsidTr="00F2693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32F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9 10 05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265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FAE1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A22F62">
              <w:rPr>
                <w:b/>
                <w:bCs/>
                <w:color w:val="000000"/>
              </w:rPr>
              <w:t>Návštěvy/rok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0CD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F0400" w14:textId="77777777" w:rsidR="00EC0C83" w:rsidRPr="0098535B" w:rsidRDefault="00EC0C83" w:rsidP="00F2693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EC0C83" w:rsidRPr="0098535B" w14:paraId="0C674070" w14:textId="77777777" w:rsidTr="00F2693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F75FC92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C0C83" w:rsidRPr="0098535B" w14:paraId="0D76BDF1" w14:textId="77777777" w:rsidTr="00F2693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1FC288" w14:textId="35D6CEE3" w:rsidR="00EC0C83" w:rsidRPr="00B276E4" w:rsidRDefault="00DA234F" w:rsidP="00EF10F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Ex ante o</w:t>
            </w:r>
            <w:r w:rsidR="00EC0C83" w:rsidRPr="00A22F62">
              <w:rPr>
                <w:sz w:val="20"/>
                <w:szCs w:val="20"/>
              </w:rPr>
              <w:t xml:space="preserve">dhad zvýšení počtu návštěv lokality v roce následujícím po roce ukončení projektu. Zahrnuje lokality, kde došlo k jejich podpoře za účelem zatraktivnění a podpory udržitelného turismu. Zahrnuje lokality s nebo bez předchozí turistické aktivity. Jeden návštěvník může být započítáván vícekrát (v případě že učiní více návštěv), skupina návštěvníků je započítávána dle počtu jejich členů. </w:t>
            </w:r>
            <w:r w:rsidR="00937AC2">
              <w:rPr>
                <w:sz w:val="20"/>
                <w:szCs w:val="20"/>
              </w:rPr>
              <w:t>Stanovení očekávaného počtu návštěv může být založeno na počtu vydaných vstupenek.</w:t>
            </w:r>
          </w:p>
        </w:tc>
      </w:tr>
      <w:tr w:rsidR="00EC0C83" w:rsidRPr="0098535B" w14:paraId="1ADFBF3F" w14:textId="77777777" w:rsidTr="00F2693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6174A2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8C43986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EC0C83" w:rsidRPr="0098535B" w14:paraId="497CAA1D" w14:textId="77777777" w:rsidTr="00F2693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8737" w14:textId="77777777" w:rsidR="00EC0C83" w:rsidRPr="002A46D4" w:rsidRDefault="00EC0C83" w:rsidP="00F2693A">
            <w:pPr>
              <w:spacing w:before="120" w:after="120"/>
              <w:ind w:left="170" w:right="170"/>
              <w:jc w:val="center"/>
              <w:rPr>
                <w:color w:val="000000"/>
                <w:sz w:val="20"/>
                <w:szCs w:val="20"/>
              </w:rPr>
            </w:pPr>
            <w:r w:rsidRPr="002A46D4">
              <w:rPr>
                <w:b/>
                <w:sz w:val="20"/>
                <w:szCs w:val="20"/>
              </w:rPr>
              <w:t xml:space="preserve">3 </w:t>
            </w:r>
            <w:r w:rsidRPr="002A46D4">
              <w:rPr>
                <w:sz w:val="20"/>
                <w:szCs w:val="20"/>
              </w:rPr>
              <w:t>- Dobrá správa území a zefektivnění veřejných institucí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80CB8" w14:textId="77777777" w:rsidR="00EC0C83" w:rsidRPr="002A46D4" w:rsidRDefault="00EC0C83" w:rsidP="00F2693A">
            <w:pPr>
              <w:spacing w:before="120" w:after="120"/>
              <w:ind w:left="170" w:right="170"/>
              <w:jc w:val="center"/>
              <w:rPr>
                <w:color w:val="000000"/>
                <w:sz w:val="20"/>
                <w:szCs w:val="20"/>
              </w:rPr>
            </w:pPr>
            <w:r w:rsidRPr="002A46D4">
              <w:rPr>
                <w:b/>
                <w:color w:val="000000"/>
                <w:sz w:val="20"/>
                <w:szCs w:val="20"/>
              </w:rPr>
              <w:t>3.1</w:t>
            </w:r>
            <w:r w:rsidRPr="002A46D4">
              <w:rPr>
                <w:color w:val="000000"/>
                <w:sz w:val="20"/>
                <w:szCs w:val="20"/>
              </w:rPr>
              <w:t xml:space="preserve"> - </w:t>
            </w:r>
            <w:r w:rsidRPr="002A46D4">
              <w:rPr>
                <w:sz w:val="20"/>
                <w:szCs w:val="20"/>
              </w:rPr>
              <w:t>Zefektivnění prezentace, posílení ochrany a rozvoje kulturního dědictví</w:t>
            </w:r>
          </w:p>
        </w:tc>
      </w:tr>
      <w:tr w:rsidR="00EC0C83" w:rsidRPr="0098535B" w14:paraId="0E4F8DE4" w14:textId="77777777" w:rsidTr="00F2693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96E803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EC0C83" w:rsidRPr="0098535B" w14:paraId="18FB5005" w14:textId="77777777" w:rsidTr="00F2693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D030C4B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EC0C83" w:rsidRPr="0098535B" w14:paraId="49E99251" w14:textId="77777777" w:rsidTr="00F2693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C39A12F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EC0C83" w:rsidRPr="0098535B" w14:paraId="5E0D1F91" w14:textId="77777777" w:rsidTr="00F2693A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09F0C36" w14:textId="77777777" w:rsidR="00EC0C83" w:rsidRPr="005F1877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5F1877">
              <w:rPr>
                <w:b/>
                <w:sz w:val="20"/>
                <w:szCs w:val="20"/>
                <w:u w:val="single"/>
              </w:rPr>
              <w:t>Cílová hodnota</w:t>
            </w:r>
            <w:r w:rsidRPr="005F187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Žadatel uvede očekávané zvýšení počtu návštěv v podpořené památce za kalendářní rok následující po roce, ve kterém byla ukončena realizace projektu. </w:t>
            </w:r>
            <w:r w:rsidR="00684EA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ndikátor měří </w:t>
            </w:r>
            <w:r w:rsidR="00D50614">
              <w:rPr>
                <w:sz w:val="20"/>
                <w:szCs w:val="20"/>
              </w:rPr>
              <w:t xml:space="preserve">jednorázové </w:t>
            </w:r>
            <w:r>
              <w:rPr>
                <w:sz w:val="20"/>
                <w:szCs w:val="20"/>
                <w:u w:val="single"/>
              </w:rPr>
              <w:t>z</w:t>
            </w:r>
            <w:r w:rsidRPr="0054514B">
              <w:rPr>
                <w:sz w:val="20"/>
                <w:szCs w:val="20"/>
                <w:u w:val="single"/>
              </w:rPr>
              <w:t>výšení</w:t>
            </w:r>
            <w:r>
              <w:rPr>
                <w:sz w:val="20"/>
                <w:szCs w:val="20"/>
                <w:u w:val="single"/>
              </w:rPr>
              <w:t xml:space="preserve"> počtu návštěv</w:t>
            </w:r>
            <w:r w:rsidRPr="00981408">
              <w:rPr>
                <w:sz w:val="20"/>
                <w:szCs w:val="20"/>
              </w:rPr>
              <w:t xml:space="preserve">: jde o </w:t>
            </w:r>
            <w:r>
              <w:rPr>
                <w:sz w:val="20"/>
                <w:szCs w:val="20"/>
              </w:rPr>
              <w:t>očekávaný počet návštěv v projektem podpořené památce za kalendářní rok následující po roce, ve kterém byl projekt ukončen</w:t>
            </w:r>
            <w:r w:rsidR="00684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936FE">
              <w:rPr>
                <w:sz w:val="20"/>
                <w:szCs w:val="20"/>
                <w:u w:val="single"/>
              </w:rPr>
              <w:t>zmenšený</w:t>
            </w:r>
            <w:r>
              <w:rPr>
                <w:sz w:val="20"/>
                <w:szCs w:val="20"/>
                <w:u w:val="single"/>
              </w:rPr>
              <w:t xml:space="preserve"> o počet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návštěv za kalendářní rok předcházející roku, ve kterém začala realizace projektu. </w:t>
            </w:r>
            <w:r>
              <w:rPr>
                <w:sz w:val="20"/>
                <w:szCs w:val="20"/>
              </w:rPr>
              <w:t xml:space="preserve">Pokud nejsou údaje o počtu návštěv v posledním ukončeném roce před podáním žádosti k dispozici, vykáže žadatel jiný nejbližší rok, za </w:t>
            </w:r>
            <w:r w:rsidR="00193B05">
              <w:rPr>
                <w:sz w:val="20"/>
                <w:szCs w:val="20"/>
              </w:rPr>
              <w:t xml:space="preserve">který </w:t>
            </w:r>
            <w:r>
              <w:rPr>
                <w:sz w:val="20"/>
                <w:szCs w:val="20"/>
              </w:rPr>
              <w:t>tímto údajem disponuje.</w:t>
            </w:r>
          </w:p>
          <w:p w14:paraId="10A444D8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Příjemce </w:t>
            </w:r>
            <w:r w:rsidRPr="00E81525">
              <w:rPr>
                <w:rFonts w:cs="Times New Roman"/>
                <w:sz w:val="20"/>
                <w:szCs w:val="20"/>
              </w:rPr>
              <w:t xml:space="preserve">si </w:t>
            </w:r>
            <w:r w:rsidRPr="00B8046F">
              <w:rPr>
                <w:sz w:val="20"/>
                <w:szCs w:val="20"/>
              </w:rPr>
              <w:t>zvolí</w:t>
            </w:r>
            <w:r w:rsidRPr="00E81525">
              <w:rPr>
                <w:rFonts w:cs="Times New Roman"/>
                <w:sz w:val="20"/>
                <w:szCs w:val="20"/>
              </w:rPr>
              <w:t xml:space="preserve"> metodu evidence </w:t>
            </w:r>
            <w:r>
              <w:rPr>
                <w:rFonts w:cs="Times New Roman"/>
                <w:sz w:val="20"/>
                <w:szCs w:val="20"/>
              </w:rPr>
              <w:t xml:space="preserve">počtu </w:t>
            </w:r>
            <w:r w:rsidRPr="00E81525">
              <w:rPr>
                <w:rFonts w:cs="Times New Roman"/>
                <w:sz w:val="20"/>
                <w:szCs w:val="20"/>
              </w:rPr>
              <w:t>návštěvníků</w:t>
            </w:r>
            <w:r>
              <w:rPr>
                <w:rFonts w:cs="Times New Roman"/>
                <w:sz w:val="20"/>
                <w:szCs w:val="20"/>
              </w:rPr>
              <w:t xml:space="preserve"> podpořené památky a</w:t>
            </w:r>
            <w:r w:rsidRPr="00E81525">
              <w:rPr>
                <w:rFonts w:cs="Times New Roman"/>
                <w:sz w:val="20"/>
                <w:szCs w:val="20"/>
              </w:rPr>
              <w:t xml:space="preserve"> bude podle ní vykazovat dosaženou hodnotu indikátoru. </w:t>
            </w:r>
            <w:r w:rsidR="00301836" w:rsidRPr="00E81525">
              <w:rPr>
                <w:rFonts w:cs="Times New Roman"/>
                <w:sz w:val="20"/>
                <w:szCs w:val="20"/>
              </w:rPr>
              <w:t>Započítávají se</w:t>
            </w:r>
            <w:r w:rsidR="00301836">
              <w:rPr>
                <w:rFonts w:cs="Times New Roman"/>
                <w:sz w:val="20"/>
                <w:szCs w:val="20"/>
              </w:rPr>
              <w:t xml:space="preserve"> i</w:t>
            </w:r>
            <w:r w:rsidR="00301836" w:rsidRPr="00E81525">
              <w:rPr>
                <w:rFonts w:cs="Times New Roman"/>
                <w:sz w:val="20"/>
                <w:szCs w:val="20"/>
              </w:rPr>
              <w:t xml:space="preserve"> účastníci </w:t>
            </w:r>
            <w:r w:rsidR="00301836">
              <w:rPr>
                <w:rFonts w:cs="Times New Roman"/>
                <w:sz w:val="20"/>
                <w:szCs w:val="20"/>
              </w:rPr>
              <w:t>přednášek, seminářů a dalších aktivit pro návštěvníky uskutečněných v daném roce.</w:t>
            </w:r>
            <w:r w:rsidR="00301836" w:rsidRPr="00E815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V případě památek zpřístupněných za vstupné lze vykazovat počet návštěvníků např. dle počtu prodaných vstupenek. </w:t>
            </w:r>
          </w:p>
          <w:p w14:paraId="08F1C20D" w14:textId="5FF92C6E" w:rsidR="00EC0C83" w:rsidRDefault="00EC0C83" w:rsidP="00F2693A">
            <w:pPr>
              <w:pStyle w:val="text"/>
              <w:spacing w:before="120" w:after="120"/>
              <w:ind w:left="170" w:right="170"/>
              <w:rPr>
                <w:rFonts w:cs="Times New Roman"/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 w:rsidRPr="009D3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návštěv v podpořené památce za kalendářní rok následující po roce, ve kterém byla ukončena realizace projektu</w:t>
            </w:r>
            <w:r>
              <w:rPr>
                <w:rFonts w:cs="Times New Roman"/>
                <w:sz w:val="20"/>
                <w:szCs w:val="20"/>
              </w:rPr>
              <w:t xml:space="preserve">. Dosaženou hodnotu je </w:t>
            </w:r>
            <w:r w:rsidR="00F30228">
              <w:rPr>
                <w:rFonts w:cs="Times New Roman"/>
                <w:sz w:val="20"/>
                <w:szCs w:val="20"/>
              </w:rPr>
              <w:t xml:space="preserve">příjemce </w:t>
            </w:r>
            <w:r>
              <w:rPr>
                <w:rFonts w:cs="Times New Roman"/>
                <w:sz w:val="20"/>
                <w:szCs w:val="20"/>
              </w:rPr>
              <w:t>povinen vykázat ve zprávě o</w:t>
            </w:r>
            <w:r w:rsidR="009B4DCE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udržitelnosti v následujícím roce.</w:t>
            </w:r>
            <w:r w:rsidR="00D50614">
              <w:rPr>
                <w:rFonts w:cs="Times New Roman"/>
                <w:sz w:val="20"/>
                <w:szCs w:val="20"/>
              </w:rPr>
              <w:t xml:space="preserve"> V dalších zprávách o udržitelnosti již příjemce hodnotu nevykazuje.</w:t>
            </w:r>
          </w:p>
          <w:p w14:paraId="1A60881E" w14:textId="77777777" w:rsidR="00937AC2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5F1877">
              <w:rPr>
                <w:b/>
                <w:sz w:val="20"/>
                <w:szCs w:val="20"/>
                <w:u w:val="single"/>
              </w:rPr>
              <w:t>Tolerance:</w:t>
            </w:r>
            <w:r>
              <w:rPr>
                <w:sz w:val="20"/>
                <w:szCs w:val="20"/>
              </w:rPr>
              <w:t xml:space="preserve"> </w:t>
            </w:r>
            <w:r w:rsidR="00247420">
              <w:rPr>
                <w:sz w:val="20"/>
                <w:szCs w:val="20"/>
              </w:rPr>
              <w:t xml:space="preserve">Dosažení cílové hodnoty v rozpětí 80 - 100 % a překročení cílové hodnoty není sankcionováno. </w:t>
            </w:r>
            <w:r w:rsidR="00247420" w:rsidRPr="00FE3646">
              <w:rPr>
                <w:sz w:val="20"/>
                <w:szCs w:val="20"/>
              </w:rPr>
              <w:t xml:space="preserve">Pokud </w:t>
            </w:r>
            <w:r w:rsidR="00247420">
              <w:rPr>
                <w:sz w:val="20"/>
                <w:szCs w:val="20"/>
              </w:rPr>
              <w:t xml:space="preserve">je dosažená hodnota nižší než 80 % </w:t>
            </w:r>
            <w:r w:rsidR="00981408">
              <w:rPr>
                <w:sz w:val="20"/>
                <w:szCs w:val="20"/>
              </w:rPr>
              <w:t xml:space="preserve">plánované </w:t>
            </w:r>
            <w:r w:rsidR="00247420">
              <w:rPr>
                <w:sz w:val="20"/>
                <w:szCs w:val="20"/>
              </w:rPr>
              <w:t>cílové hodnoty indikátoru je nutné s předstihem</w:t>
            </w:r>
            <w:r w:rsidR="00247420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247420">
              <w:rPr>
                <w:sz w:val="20"/>
                <w:szCs w:val="20"/>
              </w:rPr>
              <w:t xml:space="preserve">, kde příjemce zdůvodní nutnost úpravy cílové </w:t>
            </w:r>
            <w:r w:rsidR="00247420">
              <w:rPr>
                <w:sz w:val="20"/>
                <w:szCs w:val="20"/>
              </w:rPr>
              <w:lastRenderedPageBreak/>
              <w:t>hodnoty indikátoru</w:t>
            </w:r>
            <w:r w:rsidR="00247420" w:rsidRPr="00057DF8">
              <w:rPr>
                <w:sz w:val="20"/>
                <w:szCs w:val="20"/>
              </w:rPr>
              <w:t>.</w:t>
            </w:r>
            <w:r w:rsidR="00247420">
              <w:rPr>
                <w:sz w:val="20"/>
                <w:szCs w:val="20"/>
              </w:rPr>
              <w:t xml:space="preserve"> Pokud tak žadatel neučiní, bude nedosažení cílové hodnoty sankcionováno.</w:t>
            </w:r>
            <w:r w:rsidR="00A9350B">
              <w:rPr>
                <w:sz w:val="20"/>
                <w:szCs w:val="20"/>
              </w:rPr>
              <w:t xml:space="preserve"> </w:t>
            </w:r>
          </w:p>
          <w:p w14:paraId="3DAE2D50" w14:textId="72FACB92" w:rsidR="00EC0C83" w:rsidRPr="00B276E4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5F1877">
              <w:rPr>
                <w:b/>
                <w:sz w:val="20"/>
                <w:szCs w:val="20"/>
                <w:u w:val="single"/>
              </w:rPr>
              <w:t>Sankce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F1877">
              <w:rPr>
                <w:sz w:val="20"/>
                <w:szCs w:val="20"/>
              </w:rPr>
              <w:t xml:space="preserve">Výše a typ sankce, aplikované při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Právního aktu</w:t>
            </w:r>
            <w:r w:rsidRPr="005F1877">
              <w:rPr>
                <w:sz w:val="20"/>
                <w:szCs w:val="20"/>
              </w:rPr>
              <w:t>.</w:t>
            </w:r>
          </w:p>
        </w:tc>
      </w:tr>
      <w:tr w:rsidR="00EC0C83" w:rsidRPr="0098535B" w14:paraId="42EF8815" w14:textId="77777777" w:rsidTr="00F2693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880DEC9" w14:textId="77777777" w:rsidR="00EC0C83" w:rsidRPr="0070197F" w:rsidRDefault="00EC0C83" w:rsidP="00F2693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EC0C83" w:rsidRPr="0098535B" w14:paraId="183A8D03" w14:textId="77777777" w:rsidTr="00F2693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456E8" w14:textId="3B4469F7" w:rsidR="00EC0C83" w:rsidRPr="0041464C" w:rsidRDefault="00EC0C83" w:rsidP="00981408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41464C">
              <w:rPr>
                <w:color w:val="000000"/>
                <w:sz w:val="20"/>
                <w:szCs w:val="20"/>
              </w:rPr>
              <w:t>Výchozí a cílovou hodnotu, stanovenou na základě uvedených</w:t>
            </w:r>
            <w:r>
              <w:rPr>
                <w:color w:val="000000"/>
                <w:sz w:val="20"/>
                <w:szCs w:val="20"/>
              </w:rPr>
              <w:t xml:space="preserve"> informací</w:t>
            </w:r>
            <w:r w:rsidRPr="0041464C">
              <w:rPr>
                <w:color w:val="000000"/>
                <w:sz w:val="20"/>
                <w:szCs w:val="20"/>
              </w:rPr>
              <w:t>, žadatel zadává do žádosti o</w:t>
            </w:r>
            <w:r w:rsidR="009B4DCE">
              <w:rPr>
                <w:color w:val="000000"/>
                <w:sz w:val="20"/>
                <w:szCs w:val="20"/>
              </w:rPr>
              <w:t> </w:t>
            </w:r>
            <w:r w:rsidRPr="0041464C">
              <w:rPr>
                <w:color w:val="000000"/>
                <w:sz w:val="20"/>
                <w:szCs w:val="20"/>
              </w:rPr>
              <w:t>podporu v systému  MS2014+. Dosažené hodnoty vykazuje v systému MS2014+ prostřednictvím:</w:t>
            </w:r>
          </w:p>
          <w:p w14:paraId="2AC6F4D9" w14:textId="3FA07274" w:rsidR="00510B66" w:rsidRPr="0041464C" w:rsidRDefault="00510B66" w:rsidP="00510B66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První zpráv</w:t>
            </w:r>
            <w:r w:rsidR="00F302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 </w:t>
            </w:r>
            <w:r w:rsidRPr="0041464C">
              <w:rPr>
                <w:sz w:val="20"/>
                <w:szCs w:val="20"/>
              </w:rPr>
              <w:t>udržitelnosti projektu</w:t>
            </w:r>
            <w:r>
              <w:rPr>
                <w:sz w:val="20"/>
                <w:szCs w:val="20"/>
              </w:rPr>
              <w:t xml:space="preserve">, která následuje po ukončení výpočtového období. </w:t>
            </w:r>
          </w:p>
          <w:p w14:paraId="2DABF855" w14:textId="77777777" w:rsidR="00EC0C83" w:rsidRPr="00AA346B" w:rsidRDefault="00EC0C83" w:rsidP="00F2693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AA346B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3962A401" w14:textId="7A26F70C" w:rsidR="00EC0C83" w:rsidRPr="00DA3D09" w:rsidRDefault="00EC0C83" w:rsidP="00937AC2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 w:rsidRPr="00AA346B">
              <w:rPr>
                <w:color w:val="000000"/>
                <w:sz w:val="20"/>
                <w:szCs w:val="20"/>
              </w:rPr>
              <w:t>Výpočet dosažené hodnoty:</w:t>
            </w:r>
            <w:r w:rsidRPr="00AA346B">
              <w:rPr>
                <w:sz w:val="20"/>
                <w:szCs w:val="20"/>
              </w:rPr>
              <w:t xml:space="preserve"> počet návštěv v projektem podpořené památce za kalendářní rok následující po roce, ve kterém byl projekt ukončen </w:t>
            </w:r>
            <w:r w:rsidRPr="00AA346B">
              <w:rPr>
                <w:sz w:val="20"/>
                <w:szCs w:val="20"/>
                <w:u w:val="single"/>
              </w:rPr>
              <w:t>MINUS</w:t>
            </w:r>
            <w:r w:rsidRPr="00AA346B">
              <w:rPr>
                <w:sz w:val="20"/>
                <w:szCs w:val="20"/>
              </w:rPr>
              <w:t xml:space="preserve"> </w:t>
            </w:r>
            <w:r w:rsidRPr="00AA346B">
              <w:rPr>
                <w:color w:val="000000"/>
                <w:sz w:val="20"/>
                <w:szCs w:val="20"/>
              </w:rPr>
              <w:t>návštěvy za kalendářní rok předcházející roku, ve kterém začala realizace projektu.</w:t>
            </w:r>
          </w:p>
        </w:tc>
      </w:tr>
    </w:tbl>
    <w:p w14:paraId="19406CFB" w14:textId="77777777" w:rsidR="00EC0C83" w:rsidRDefault="00EC0C83" w:rsidP="00EC0C83"/>
    <w:p w14:paraId="57A19832" w14:textId="77777777" w:rsidR="00EC0C83" w:rsidRPr="00C232A0" w:rsidRDefault="00EC0C83" w:rsidP="00EC0C83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EC0C83" w:rsidRPr="0098535B" w14:paraId="7DF775B9" w14:textId="77777777" w:rsidTr="00F2693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D58AD26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EC0C83" w:rsidRPr="0098535B" w14:paraId="69349270" w14:textId="77777777" w:rsidTr="00F2693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96C4234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C0C83" w:rsidRPr="0098535B" w14:paraId="38BE66A1" w14:textId="77777777" w:rsidTr="00F2693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E2D2D1" w14:textId="77777777" w:rsidR="00EC0C83" w:rsidRPr="00194C06" w:rsidRDefault="00EC0C83" w:rsidP="00F2693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revitalizovaných</w:t>
            </w:r>
            <w:r w:rsidRPr="00A22F62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památkových objektů</w:t>
            </w:r>
          </w:p>
        </w:tc>
      </w:tr>
      <w:tr w:rsidR="00EC0C83" w:rsidRPr="0098535B" w14:paraId="39DC7964" w14:textId="77777777" w:rsidTr="00F2693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740BFF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FD29DA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3B5F8B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CD3F0C" w14:textId="77777777" w:rsidR="00EC0C83" w:rsidRPr="0098535B" w:rsidRDefault="00EC0C83" w:rsidP="00F2693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0F88A3F" w14:textId="77777777" w:rsidR="00EC0C83" w:rsidRPr="0098535B" w:rsidRDefault="00EC0C83" w:rsidP="00F2693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EC0C83" w:rsidRPr="0098535B" w14:paraId="6005A083" w14:textId="77777777" w:rsidTr="00F2693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763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22F62">
              <w:rPr>
                <w:b/>
                <w:bCs/>
                <w:color w:val="000000"/>
              </w:rPr>
              <w:t>9 05 01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2470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D80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A22F62">
              <w:rPr>
                <w:b/>
                <w:bCs/>
                <w:color w:val="000000"/>
              </w:rPr>
              <w:t>Objekty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5E9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36064" w14:textId="77777777" w:rsidR="00EC0C83" w:rsidRPr="0098535B" w:rsidRDefault="00EC0C83" w:rsidP="00F2693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EC0C83" w:rsidRPr="0098535B" w14:paraId="3565C93C" w14:textId="77777777" w:rsidTr="00F2693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EBA6AB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C0C83" w:rsidRPr="0098535B" w14:paraId="3896332A" w14:textId="77777777" w:rsidTr="00F2693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E5D7D8" w14:textId="77777777" w:rsidR="00EC0C83" w:rsidRPr="00B276E4" w:rsidRDefault="00EC0C83" w:rsidP="00852EE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A22F62">
              <w:rPr>
                <w:sz w:val="20"/>
                <w:szCs w:val="20"/>
              </w:rPr>
              <w:t>Jedná se o počet revitalizovaných (tzn. rekonstruovaných, renovovaných, zatraktivněných</w:t>
            </w:r>
            <w:r w:rsidR="00852EE3">
              <w:rPr>
                <w:sz w:val="20"/>
                <w:szCs w:val="20"/>
              </w:rPr>
              <w:t xml:space="preserve"> a zpřístupněných</w:t>
            </w:r>
            <w:r w:rsidRPr="00A22F62">
              <w:rPr>
                <w:sz w:val="20"/>
                <w:szCs w:val="20"/>
              </w:rPr>
              <w:t>) památkových objektů, které byly opraveny v rámci projektů s možností realizace opatření vedoucích k zefektivnění a ochraně mobiliárních fondů, které jsou součástí památkových objektů.  Památkovým objektem se rozumí takový objekt, který je uveden na: a) Seznamu národních kulturních památek, b) Indikativním seznamu národních kulturních památek, c) Seznamu světového dědictví UNESCO, d) Indikativním seznamu světového dědictví UNESCO</w:t>
            </w:r>
            <w:r w:rsidR="0059013A">
              <w:rPr>
                <w:sz w:val="20"/>
                <w:szCs w:val="20"/>
              </w:rPr>
              <w:t xml:space="preserve"> v kategorii kulturní dědictví</w:t>
            </w:r>
            <w:r w:rsidRPr="00A22F62">
              <w:rPr>
                <w:sz w:val="20"/>
                <w:szCs w:val="20"/>
              </w:rPr>
              <w:t>.</w:t>
            </w:r>
          </w:p>
        </w:tc>
      </w:tr>
      <w:tr w:rsidR="00EC0C83" w:rsidRPr="0098535B" w14:paraId="396D2D28" w14:textId="77777777" w:rsidTr="00F2693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35A6D9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4ED5CF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EC0C83" w:rsidRPr="0098535B" w14:paraId="507658B3" w14:textId="77777777" w:rsidTr="00F2693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31E5" w14:textId="77777777" w:rsidR="00EC0C83" w:rsidRPr="002A46D4" w:rsidRDefault="00EC0C83" w:rsidP="00F2693A">
            <w:pPr>
              <w:spacing w:before="120" w:after="120"/>
              <w:ind w:left="170" w:right="170"/>
              <w:jc w:val="center"/>
              <w:rPr>
                <w:color w:val="000000"/>
                <w:sz w:val="20"/>
                <w:szCs w:val="20"/>
              </w:rPr>
            </w:pPr>
            <w:r w:rsidRPr="002A46D4">
              <w:rPr>
                <w:b/>
                <w:sz w:val="20"/>
                <w:szCs w:val="20"/>
              </w:rPr>
              <w:t xml:space="preserve">3 </w:t>
            </w:r>
            <w:r w:rsidRPr="002A46D4">
              <w:rPr>
                <w:sz w:val="20"/>
                <w:szCs w:val="20"/>
              </w:rPr>
              <w:t>- Dobrá správa území a zefektivnění veřejných institucí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8FA48" w14:textId="77777777" w:rsidR="00EC0C83" w:rsidRPr="002A46D4" w:rsidRDefault="00EC0C83" w:rsidP="00F2693A">
            <w:pPr>
              <w:spacing w:before="120" w:after="120"/>
              <w:ind w:left="170" w:right="170"/>
              <w:jc w:val="center"/>
              <w:rPr>
                <w:color w:val="000000"/>
                <w:sz w:val="20"/>
                <w:szCs w:val="20"/>
              </w:rPr>
            </w:pPr>
            <w:r w:rsidRPr="002A46D4">
              <w:rPr>
                <w:b/>
                <w:color w:val="000000"/>
                <w:sz w:val="20"/>
                <w:szCs w:val="20"/>
              </w:rPr>
              <w:t>3.1</w:t>
            </w:r>
            <w:r w:rsidRPr="002A46D4">
              <w:rPr>
                <w:color w:val="000000"/>
                <w:sz w:val="20"/>
                <w:szCs w:val="20"/>
              </w:rPr>
              <w:t xml:space="preserve"> - </w:t>
            </w:r>
            <w:r w:rsidRPr="002A46D4">
              <w:rPr>
                <w:sz w:val="20"/>
                <w:szCs w:val="20"/>
              </w:rPr>
              <w:t>Zefektivnění prezentace, posílení ochrany a rozvoje kulturního dědictví</w:t>
            </w:r>
          </w:p>
        </w:tc>
      </w:tr>
      <w:tr w:rsidR="00EC0C83" w:rsidRPr="0098535B" w14:paraId="0EA9C54F" w14:textId="77777777" w:rsidTr="00F2693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7359BE0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EC0C83" w:rsidRPr="0098535B" w14:paraId="6A5094E0" w14:textId="77777777" w:rsidTr="00F2693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2030E84" w14:textId="77777777" w:rsidR="00EC0C83" w:rsidRPr="0098535B" w:rsidRDefault="00EC0C83" w:rsidP="00F2693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EC0C83" w:rsidRPr="0098535B" w14:paraId="422DF936" w14:textId="77777777" w:rsidTr="00F2693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6C34AF" w14:textId="77777777" w:rsidR="00EC0C83" w:rsidRPr="0098535B" w:rsidRDefault="00EC0C83" w:rsidP="00F2693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EC0C83" w:rsidRPr="0098535B" w14:paraId="2ADC593C" w14:textId="77777777" w:rsidTr="00F2693A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8BE6C13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5F1877">
              <w:rPr>
                <w:b/>
                <w:sz w:val="20"/>
                <w:szCs w:val="20"/>
                <w:u w:val="single"/>
              </w:rPr>
              <w:t>Cílová hodnota</w:t>
            </w:r>
            <w:r w:rsidRPr="005F187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Plánovaný počet památkových objektů, revitalizovaných v rámci projektu. </w:t>
            </w:r>
          </w:p>
          <w:p w14:paraId="3C44FE7A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A22F62">
              <w:rPr>
                <w:sz w:val="20"/>
                <w:szCs w:val="20"/>
              </w:rPr>
              <w:t>Památkovým objektem se rozumí objekt, uveden</w:t>
            </w:r>
            <w:r>
              <w:rPr>
                <w:sz w:val="20"/>
                <w:szCs w:val="20"/>
              </w:rPr>
              <w:t>ý</w:t>
            </w:r>
            <w:r w:rsidRPr="00A22F62">
              <w:rPr>
                <w:sz w:val="20"/>
                <w:szCs w:val="20"/>
              </w:rPr>
              <w:t xml:space="preserve"> na: </w:t>
            </w:r>
          </w:p>
          <w:p w14:paraId="3DE3659D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A22F62">
              <w:rPr>
                <w:sz w:val="20"/>
                <w:szCs w:val="20"/>
              </w:rPr>
              <w:t>a) Seznamu národních kulturních památek</w:t>
            </w:r>
            <w:r>
              <w:rPr>
                <w:sz w:val="20"/>
                <w:szCs w:val="20"/>
              </w:rPr>
              <w:t xml:space="preserve"> k 1. 1. 2014</w:t>
            </w:r>
            <w:r w:rsidRPr="00A22F62">
              <w:rPr>
                <w:sz w:val="20"/>
                <w:szCs w:val="20"/>
              </w:rPr>
              <w:t xml:space="preserve">, </w:t>
            </w:r>
          </w:p>
          <w:p w14:paraId="57BE02F6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A22F62">
              <w:rPr>
                <w:sz w:val="20"/>
                <w:szCs w:val="20"/>
              </w:rPr>
              <w:t>b) Indikativním seznamu národních kulturních památek</w:t>
            </w:r>
            <w:r>
              <w:rPr>
                <w:sz w:val="20"/>
                <w:szCs w:val="20"/>
              </w:rPr>
              <w:t xml:space="preserve"> k 1. 1. 2014</w:t>
            </w:r>
            <w:r w:rsidRPr="00A22F62">
              <w:rPr>
                <w:sz w:val="20"/>
                <w:szCs w:val="20"/>
              </w:rPr>
              <w:t xml:space="preserve">, </w:t>
            </w:r>
          </w:p>
          <w:p w14:paraId="2F8489C9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A22F62">
              <w:rPr>
                <w:sz w:val="20"/>
                <w:szCs w:val="20"/>
              </w:rPr>
              <w:t>c) Seznamu světového dědictví UNESCO,</w:t>
            </w:r>
          </w:p>
          <w:p w14:paraId="0AA6A583" w14:textId="77777777" w:rsidR="00EC0C83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A22F62">
              <w:rPr>
                <w:sz w:val="20"/>
                <w:szCs w:val="20"/>
              </w:rPr>
              <w:t>d) Indikativním seznamu světového dědictví UNESCO</w:t>
            </w:r>
            <w:r w:rsidR="0059013A">
              <w:rPr>
                <w:sz w:val="20"/>
                <w:szCs w:val="20"/>
              </w:rPr>
              <w:t xml:space="preserve"> v kategorii kulturní dědictví</w:t>
            </w:r>
            <w:r w:rsidRPr="00A22F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F4B7234" w14:textId="155FA27E" w:rsidR="001876BE" w:rsidRPr="001323E4" w:rsidRDefault="00EC0C83" w:rsidP="001876BE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případě, že je projekt zaměřen na 1 památku, uvede žadatel jako cílovou hodnotu 1 i v případě, že projekt řeší více budov nebo objektů, které tvoří </w:t>
            </w:r>
            <w:r w:rsidRPr="001323E4">
              <w:rPr>
                <w:sz w:val="20"/>
                <w:szCs w:val="20"/>
              </w:rPr>
              <w:t>památku.</w:t>
            </w:r>
            <w:r w:rsidR="00B97B6B" w:rsidRPr="001323E4">
              <w:rPr>
                <w:sz w:val="20"/>
                <w:szCs w:val="20"/>
              </w:rPr>
              <w:t xml:space="preserve"> </w:t>
            </w:r>
            <w:r w:rsidR="0059013A" w:rsidRPr="001323E4">
              <w:rPr>
                <w:sz w:val="20"/>
                <w:szCs w:val="20"/>
              </w:rPr>
              <w:t>N</w:t>
            </w:r>
            <w:r w:rsidR="00B97B6B" w:rsidRPr="001323E4">
              <w:rPr>
                <w:sz w:val="20"/>
                <w:szCs w:val="20"/>
              </w:rPr>
              <w:t xml:space="preserve">apř. pokud je předmětem projektu </w:t>
            </w:r>
            <w:r w:rsidR="0059013A" w:rsidRPr="001323E4">
              <w:rPr>
                <w:sz w:val="20"/>
                <w:szCs w:val="20"/>
              </w:rPr>
              <w:t>obnova budovy</w:t>
            </w:r>
            <w:r w:rsidR="00B97B6B" w:rsidRPr="001323E4">
              <w:rPr>
                <w:sz w:val="20"/>
                <w:szCs w:val="20"/>
              </w:rPr>
              <w:t xml:space="preserve"> zámku a jeho součástí je i </w:t>
            </w:r>
            <w:r w:rsidR="0059013A" w:rsidRPr="001323E4">
              <w:rPr>
                <w:sz w:val="20"/>
                <w:szCs w:val="20"/>
              </w:rPr>
              <w:t>obnova</w:t>
            </w:r>
            <w:r w:rsidR="00B97B6B" w:rsidRPr="001323E4">
              <w:rPr>
                <w:sz w:val="20"/>
                <w:szCs w:val="20"/>
              </w:rPr>
              <w:t xml:space="preserve"> dalšího samostatného objektu v areálu zámku (např. špýcharu</w:t>
            </w:r>
            <w:r w:rsidR="0059013A" w:rsidRPr="001323E4">
              <w:rPr>
                <w:sz w:val="20"/>
                <w:szCs w:val="20"/>
              </w:rPr>
              <w:t>, hospodářských stavení apod.</w:t>
            </w:r>
            <w:r w:rsidR="00B97B6B" w:rsidRPr="001323E4">
              <w:rPr>
                <w:sz w:val="20"/>
                <w:szCs w:val="20"/>
              </w:rPr>
              <w:t xml:space="preserve">), zámeckých zahrad či vybudování technického zázemí pro návštěvníky, jedná se stále o revitalizaci jedné památky a cílová hodnota indikátoru tak bude stále rovna 1. </w:t>
            </w:r>
            <w:r w:rsidR="003560AC" w:rsidRPr="001323E4">
              <w:rPr>
                <w:sz w:val="20"/>
                <w:szCs w:val="20"/>
              </w:rPr>
              <w:t>Příjemce</w:t>
            </w:r>
            <w:r w:rsidR="001876BE" w:rsidRPr="001323E4">
              <w:rPr>
                <w:sz w:val="20"/>
                <w:szCs w:val="20"/>
              </w:rPr>
              <w:t xml:space="preserve"> má povinnost naplnit cílovou hodnotu k datu ukončení realizace projektu.</w:t>
            </w:r>
          </w:p>
          <w:p w14:paraId="40AA9C25" w14:textId="58812E8F" w:rsidR="00EC0C83" w:rsidRPr="001323E4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1323E4">
              <w:rPr>
                <w:b/>
                <w:sz w:val="20"/>
                <w:szCs w:val="20"/>
                <w:u w:val="single"/>
              </w:rPr>
              <w:t>Dosažená hodnota:</w:t>
            </w:r>
            <w:r w:rsidRPr="001323E4">
              <w:rPr>
                <w:sz w:val="20"/>
                <w:szCs w:val="20"/>
              </w:rPr>
              <w:t xml:space="preserve"> Skutečný počet památkových objektů, revitalizovaných při realizaci projektu. Dosaženou hodnotu dokládá příjemce nejpozději se </w:t>
            </w:r>
            <w:r w:rsidR="00B61D1D">
              <w:rPr>
                <w:sz w:val="20"/>
                <w:szCs w:val="20"/>
              </w:rPr>
              <w:t>z</w:t>
            </w:r>
            <w:r w:rsidRPr="001323E4">
              <w:rPr>
                <w:sz w:val="20"/>
                <w:szCs w:val="20"/>
              </w:rPr>
              <w:t>ávěrečnou zprávou</w:t>
            </w:r>
            <w:r w:rsidR="002371D7" w:rsidRPr="001323E4">
              <w:rPr>
                <w:sz w:val="20"/>
                <w:szCs w:val="20"/>
              </w:rPr>
              <w:t xml:space="preserve"> o realizaci projektu</w:t>
            </w:r>
            <w:r w:rsidRPr="001323E4">
              <w:rPr>
                <w:sz w:val="20"/>
                <w:szCs w:val="20"/>
              </w:rPr>
              <w:t xml:space="preserve"> kolaudačním souhlasem </w:t>
            </w:r>
            <w:r w:rsidR="00B61D1D">
              <w:rPr>
                <w:sz w:val="20"/>
                <w:szCs w:val="20"/>
              </w:rPr>
              <w:t>nebo kolaudačním rozhodnutím</w:t>
            </w:r>
            <w:r w:rsidRPr="001323E4">
              <w:rPr>
                <w:sz w:val="20"/>
                <w:szCs w:val="20"/>
              </w:rPr>
              <w:t xml:space="preserve">. Pokud kolaudační souhlas do podání závěrečné monitorovací </w:t>
            </w:r>
            <w:r w:rsidRPr="001323E4">
              <w:rPr>
                <w:sz w:val="20"/>
                <w:szCs w:val="20"/>
              </w:rPr>
              <w:lastRenderedPageBreak/>
              <w:t xml:space="preserve">zprávy neobdržel, předloží protokol o předání/převzetí díla/stavby nebo oznámení stavebnímu úřadu </w:t>
            </w:r>
            <w:r w:rsidR="00B61D1D">
              <w:rPr>
                <w:sz w:val="20"/>
                <w:szCs w:val="20"/>
              </w:rPr>
              <w:t xml:space="preserve">a </w:t>
            </w:r>
            <w:r w:rsidRPr="001323E4">
              <w:rPr>
                <w:sz w:val="20"/>
                <w:szCs w:val="20"/>
              </w:rPr>
              <w:t>doloží kolaudační souhlas</w:t>
            </w:r>
            <w:r w:rsidR="00B61D1D">
              <w:rPr>
                <w:sz w:val="20"/>
                <w:szCs w:val="20"/>
              </w:rPr>
              <w:t>/kolaudační rozhodnutí</w:t>
            </w:r>
            <w:r w:rsidRPr="001323E4">
              <w:rPr>
                <w:sz w:val="20"/>
                <w:szCs w:val="20"/>
              </w:rPr>
              <w:t xml:space="preserve"> s první </w:t>
            </w:r>
            <w:r w:rsidR="00B61D1D">
              <w:rPr>
                <w:sz w:val="20"/>
                <w:szCs w:val="20"/>
              </w:rPr>
              <w:t>z</w:t>
            </w:r>
            <w:r w:rsidRPr="001323E4">
              <w:rPr>
                <w:sz w:val="20"/>
                <w:szCs w:val="20"/>
              </w:rPr>
              <w:t>právou o udržitelnosti projektu.</w:t>
            </w:r>
          </w:p>
          <w:p w14:paraId="6C34FEFF" w14:textId="77777777" w:rsidR="00EC0C83" w:rsidRPr="001323E4" w:rsidRDefault="00EC0C83" w:rsidP="00F2693A">
            <w:pPr>
              <w:pStyle w:val="text"/>
              <w:ind w:left="170"/>
              <w:rPr>
                <w:sz w:val="20"/>
                <w:szCs w:val="20"/>
                <w:u w:val="single"/>
              </w:rPr>
            </w:pPr>
            <w:r w:rsidRPr="001323E4">
              <w:rPr>
                <w:b/>
                <w:sz w:val="20"/>
                <w:szCs w:val="20"/>
                <w:u w:val="single"/>
              </w:rPr>
              <w:t>Tolerance:</w:t>
            </w:r>
            <w:r w:rsidRPr="001323E4">
              <w:rPr>
                <w:sz w:val="20"/>
                <w:szCs w:val="20"/>
              </w:rPr>
              <w:t xml:space="preserve">  Žádná, pokud není dosažena cílová hodnota, projekt nesplnil svůj cíl. </w:t>
            </w:r>
          </w:p>
          <w:p w14:paraId="48276862" w14:textId="77777777" w:rsidR="00EC0C83" w:rsidRPr="00B276E4" w:rsidRDefault="00EC0C83" w:rsidP="00F2693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1323E4">
              <w:rPr>
                <w:b/>
                <w:sz w:val="20"/>
                <w:szCs w:val="20"/>
                <w:u w:val="single"/>
              </w:rPr>
              <w:t>Sankce</w:t>
            </w:r>
            <w:r w:rsidRPr="001323E4">
              <w:rPr>
                <w:sz w:val="20"/>
                <w:szCs w:val="20"/>
                <w:u w:val="single"/>
              </w:rPr>
              <w:t>:</w:t>
            </w:r>
            <w:r w:rsidRPr="001323E4">
              <w:rPr>
                <w:sz w:val="20"/>
                <w:szCs w:val="20"/>
              </w:rPr>
              <w:t xml:space="preserve"> Výše a typ sankce, aplikované při překročení nebo nenaplnění cílové hodnoty</w:t>
            </w:r>
            <w:r w:rsidRPr="005F1877">
              <w:rPr>
                <w:sz w:val="20"/>
                <w:szCs w:val="20"/>
              </w:rPr>
              <w:t xml:space="preserve"> indikátoru, je stanovena v Podmínkách </w:t>
            </w:r>
            <w:r>
              <w:rPr>
                <w:sz w:val="20"/>
                <w:szCs w:val="20"/>
              </w:rPr>
              <w:t>Právního aktu.</w:t>
            </w:r>
          </w:p>
        </w:tc>
      </w:tr>
      <w:tr w:rsidR="00EC0C83" w:rsidRPr="0098535B" w14:paraId="69DAF039" w14:textId="77777777" w:rsidTr="00F2693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2582045" w14:textId="77777777" w:rsidR="00EC0C83" w:rsidRPr="0070197F" w:rsidRDefault="00EC0C83" w:rsidP="00F2693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EC0C83" w:rsidRPr="0098535B" w14:paraId="2B08BA6C" w14:textId="77777777" w:rsidTr="00F2693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3EAFE6" w14:textId="16C2133C" w:rsidR="00EC0C83" w:rsidRPr="0041464C" w:rsidRDefault="00EC0C83" w:rsidP="00F2693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41464C">
              <w:rPr>
                <w:color w:val="000000"/>
                <w:sz w:val="20"/>
                <w:szCs w:val="20"/>
              </w:rPr>
              <w:t>ílovou hodnotu, stanovenou na základě uvedených</w:t>
            </w:r>
            <w:r>
              <w:rPr>
                <w:color w:val="000000"/>
                <w:sz w:val="20"/>
                <w:szCs w:val="20"/>
              </w:rPr>
              <w:t xml:space="preserve"> informací</w:t>
            </w:r>
            <w:r w:rsidRPr="0041464C">
              <w:rPr>
                <w:color w:val="000000"/>
                <w:sz w:val="20"/>
                <w:szCs w:val="20"/>
              </w:rPr>
              <w:t>, žadatel zadává do žádosti o podporu v</w:t>
            </w:r>
            <w:r w:rsidR="009B4DCE">
              <w:rPr>
                <w:color w:val="000000"/>
                <w:sz w:val="20"/>
                <w:szCs w:val="20"/>
              </w:rPr>
              <w:t> </w:t>
            </w:r>
            <w:r w:rsidRPr="0041464C">
              <w:rPr>
                <w:color w:val="000000"/>
                <w:sz w:val="20"/>
                <w:szCs w:val="20"/>
              </w:rPr>
              <w:t>systému  MS2014+. Dosažené hodnoty vykazuje v systému MS2014+ prostřednictvím:</w:t>
            </w:r>
          </w:p>
          <w:p w14:paraId="72EEC153" w14:textId="77777777" w:rsidR="00EC0C83" w:rsidRPr="0041464C" w:rsidRDefault="00EC0C83" w:rsidP="00F2693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1464C">
              <w:rPr>
                <w:sz w:val="20"/>
                <w:szCs w:val="20"/>
              </w:rPr>
              <w:t>Průběžných zpráv o realizaci projektu</w:t>
            </w:r>
          </w:p>
          <w:p w14:paraId="4C7B84E3" w14:textId="77777777" w:rsidR="00EC0C83" w:rsidRPr="0041464C" w:rsidRDefault="00EC0C83" w:rsidP="00F2693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1464C">
              <w:rPr>
                <w:sz w:val="20"/>
                <w:szCs w:val="20"/>
              </w:rPr>
              <w:t xml:space="preserve">Závěrečné zprávy o realizaci projektu </w:t>
            </w:r>
          </w:p>
          <w:p w14:paraId="39A5DC7F" w14:textId="77777777" w:rsidR="00EC0C83" w:rsidRPr="000A00FC" w:rsidRDefault="00EC0C83" w:rsidP="00F2693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146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08E48340" w14:textId="77777777" w:rsidR="00EC0C83" w:rsidRDefault="00EC0C83" w:rsidP="00EC0C83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E1AB4" w:rsidRPr="0098535B" w14:paraId="2E84CC90" w14:textId="77777777" w:rsidTr="00C56C20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18BE2B3" w14:textId="77777777" w:rsidR="00AE1AB4" w:rsidRPr="0098535B" w:rsidRDefault="00EC0C83" w:rsidP="00C56C20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br w:type="page"/>
            </w:r>
            <w:r w:rsidR="00AE1AB4"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 w:rsidR="00AE1AB4"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E1AB4" w:rsidRPr="0098535B" w14:paraId="557006DE" w14:textId="77777777" w:rsidTr="00C56C20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A87A7E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1AB4" w:rsidRPr="0098535B" w14:paraId="193DEBFD" w14:textId="77777777" w:rsidTr="00C56C20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C45D59" w14:textId="77777777" w:rsidR="00AE1AB4" w:rsidRPr="00194C06" w:rsidRDefault="00AE1AB4" w:rsidP="00C56C20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6C07E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Podíl zpřístupněných a zefektivněných podsbírek a fondů</w:t>
            </w:r>
          </w:p>
        </w:tc>
      </w:tr>
      <w:tr w:rsidR="00AE1AB4" w:rsidRPr="0098535B" w14:paraId="663852A2" w14:textId="77777777" w:rsidTr="00C56C20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792F56A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BDDDFAA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DA55D8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1C3E8B" w14:textId="77777777" w:rsidR="00AE1AB4" w:rsidRPr="0098535B" w:rsidRDefault="00AE1AB4" w:rsidP="00C56C20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E985D18" w14:textId="77777777" w:rsidR="00AE1AB4" w:rsidRPr="0098535B" w:rsidRDefault="00AE1AB4" w:rsidP="00C56C20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E1AB4" w:rsidRPr="0098535B" w14:paraId="1A5D7BB1" w14:textId="77777777" w:rsidTr="00C56C20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6DE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C07E8">
              <w:rPr>
                <w:b/>
                <w:bCs/>
                <w:color w:val="000000"/>
              </w:rPr>
              <w:t>9 07 10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95A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5BC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6C07E8">
              <w:rPr>
                <w:b/>
                <w:bCs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54C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372F2" w14:textId="77777777" w:rsidR="00AE1AB4" w:rsidRPr="0098535B" w:rsidRDefault="00AE1AB4" w:rsidP="00C56C20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E1AB4" w:rsidRPr="0098535B" w14:paraId="4A340803" w14:textId="77777777" w:rsidTr="00C56C20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5EFD9C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1AB4" w:rsidRPr="0098535B" w14:paraId="0DC757DC" w14:textId="77777777" w:rsidTr="00C56C20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2439B9" w14:textId="77777777" w:rsidR="00AE1AB4" w:rsidRPr="00B276E4" w:rsidRDefault="00AE1AB4" w:rsidP="00C56C2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6C07E8">
              <w:rPr>
                <w:sz w:val="20"/>
                <w:szCs w:val="20"/>
              </w:rPr>
              <w:t>Jedná se o podíl počtu zpřístupněných a/nebo zefektivněných muzejních/galerijních podsbírek a/nebo knihovních fondů na počtu všech muzejních/galerijních podsbírek a knih</w:t>
            </w:r>
            <w:r>
              <w:rPr>
                <w:sz w:val="20"/>
                <w:szCs w:val="20"/>
              </w:rPr>
              <w:t>ovních fondů ve správě potenci</w:t>
            </w:r>
            <w:r w:rsidRPr="006C07E8">
              <w:rPr>
                <w:sz w:val="20"/>
                <w:szCs w:val="20"/>
              </w:rPr>
              <w:t>álních příjemců  - v %.</w:t>
            </w:r>
          </w:p>
        </w:tc>
      </w:tr>
      <w:tr w:rsidR="00AE1AB4" w:rsidRPr="0098535B" w14:paraId="75251E9E" w14:textId="77777777" w:rsidTr="00C56C20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824ABF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87A413A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AE1AB4" w:rsidRPr="0098535B" w14:paraId="5F2EF1BF" w14:textId="77777777" w:rsidTr="00C56C20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775B" w14:textId="77777777" w:rsidR="00AE1AB4" w:rsidRPr="0098535B" w:rsidRDefault="00AE1AB4" w:rsidP="00C56C20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3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767937">
              <w:t>Dobrá správa území a zefektivnění veřejných institucí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39D86" w14:textId="77777777" w:rsidR="00AE1AB4" w:rsidRPr="00767937" w:rsidRDefault="00AE1AB4" w:rsidP="00C56C20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7937">
              <w:rPr>
                <w:b/>
                <w:color w:val="000000"/>
              </w:rPr>
              <w:t>3.1</w:t>
            </w:r>
            <w:r w:rsidRPr="00767937">
              <w:rPr>
                <w:color w:val="000000"/>
              </w:rPr>
              <w:t xml:space="preserve"> - </w:t>
            </w:r>
            <w:r w:rsidRPr="00767937">
              <w:t>Zefektivnění prezentace, posílení ochrany a rozvoje kulturního dědictví</w:t>
            </w:r>
          </w:p>
        </w:tc>
      </w:tr>
      <w:tr w:rsidR="00AE1AB4" w:rsidRPr="0098535B" w14:paraId="587F3BB8" w14:textId="77777777" w:rsidTr="00C56C20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FD24F3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E1AB4" w:rsidRPr="0098535B" w14:paraId="68021DDD" w14:textId="77777777" w:rsidTr="00C56C20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422D996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Stanovená žadatelem</w:t>
            </w:r>
          </w:p>
        </w:tc>
      </w:tr>
      <w:tr w:rsidR="00AE1AB4" w:rsidRPr="0098535B" w14:paraId="2F607858" w14:textId="77777777" w:rsidTr="00C56C20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40A757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E1AB4" w:rsidRPr="0098535B" w14:paraId="04C0C699" w14:textId="77777777" w:rsidTr="00C56C20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2F5833D" w14:textId="77777777" w:rsidR="00AE1AB4" w:rsidRDefault="00AE1AB4" w:rsidP="00C56C20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muzeí a knihoven. Z</w:t>
            </w:r>
            <w:r w:rsidRPr="00975447">
              <w:rPr>
                <w:sz w:val="20"/>
                <w:szCs w:val="20"/>
              </w:rPr>
              <w:t>pří</w:t>
            </w:r>
            <w:r>
              <w:rPr>
                <w:sz w:val="20"/>
                <w:szCs w:val="20"/>
              </w:rPr>
              <w:t>stupněnou a/nebo zefektivněnou podsbírkou je myšlena každá podsbírka, která je přímo podpořena v rámci projektu IROP. Z</w:t>
            </w:r>
            <w:r w:rsidRPr="00975447">
              <w:rPr>
                <w:sz w:val="20"/>
                <w:szCs w:val="20"/>
              </w:rPr>
              <w:t>pří</w:t>
            </w:r>
            <w:r>
              <w:rPr>
                <w:sz w:val="20"/>
                <w:szCs w:val="20"/>
              </w:rPr>
              <w:t>stupněným a/nebo zefektivněným fondem je myšlen knihovní fond podpořený v rámci projektu IROP.</w:t>
            </w:r>
          </w:p>
          <w:p w14:paraId="3C81B531" w14:textId="77777777" w:rsidR="00B93D8B" w:rsidRDefault="00AE1AB4" w:rsidP="00B93D8B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86DBF">
              <w:rPr>
                <w:b/>
                <w:sz w:val="20"/>
                <w:szCs w:val="20"/>
                <w:u w:val="single"/>
              </w:rPr>
              <w:lastRenderedPageBreak/>
              <w:t>Výchozí hodnota:</w:t>
            </w:r>
            <w:r>
              <w:rPr>
                <w:sz w:val="20"/>
                <w:szCs w:val="20"/>
              </w:rPr>
              <w:t xml:space="preserve"> podíl </w:t>
            </w:r>
            <w:r w:rsidRPr="006C07E8">
              <w:rPr>
                <w:sz w:val="20"/>
                <w:szCs w:val="20"/>
              </w:rPr>
              <w:t xml:space="preserve">muzejních/galerijních podsbírek zpřístupněných a/nebo zefektivněných </w:t>
            </w:r>
            <w:r>
              <w:rPr>
                <w:sz w:val="20"/>
                <w:szCs w:val="20"/>
              </w:rPr>
              <w:t xml:space="preserve">před dnem zahájení realizace projektu IROP, </w:t>
            </w:r>
            <w:r w:rsidRPr="006C07E8">
              <w:rPr>
                <w:sz w:val="20"/>
                <w:szCs w:val="20"/>
              </w:rPr>
              <w:t>na počtu všech muzejních/galerijních podsbírek a knihovních fondů ve správ</w:t>
            </w:r>
            <w:r>
              <w:rPr>
                <w:sz w:val="20"/>
                <w:szCs w:val="20"/>
              </w:rPr>
              <w:t>ě příjemce, které je možné podpořit z IROP.</w:t>
            </w:r>
            <w:r w:rsidR="00B93D8B">
              <w:rPr>
                <w:sz w:val="20"/>
                <w:szCs w:val="20"/>
              </w:rPr>
              <w:t xml:space="preserve"> </w:t>
            </w:r>
            <w:r w:rsidR="00B93D8B" w:rsidRPr="003E3B69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B93D8B">
              <w:rPr>
                <w:sz w:val="20"/>
                <w:szCs w:val="20"/>
              </w:rPr>
              <w:t xml:space="preserve"> nebo mu předcházet.</w:t>
            </w:r>
          </w:p>
          <w:p w14:paraId="255EA803" w14:textId="2CF4DD7F" w:rsidR="00AE1AB4" w:rsidRPr="001323E4" w:rsidRDefault="00AE1AB4" w:rsidP="00C56C20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podíl </w:t>
            </w:r>
            <w:r w:rsidRPr="006C07E8">
              <w:rPr>
                <w:sz w:val="20"/>
                <w:szCs w:val="20"/>
              </w:rPr>
              <w:t xml:space="preserve">zpřístupněných a/nebo zefektivněných muzejních/galerijních podsbírek </w:t>
            </w:r>
            <w:r>
              <w:rPr>
                <w:sz w:val="20"/>
                <w:szCs w:val="20"/>
              </w:rPr>
              <w:t xml:space="preserve">(tedy těch, které byly zpřístupněny/zefektivněny před </w:t>
            </w:r>
            <w:r w:rsidRPr="001323E4">
              <w:rPr>
                <w:sz w:val="20"/>
                <w:szCs w:val="20"/>
              </w:rPr>
              <w:t xml:space="preserve">podáním žádosti + těch, které budou v rámci projektu zefektivněny v rámci IROP) na počtu všech muzejních/galerijních podsbírek a knihovních fondů ve správě příjemce, které je možné podpořit z IROP, po ukončení projektu. </w:t>
            </w:r>
            <w:r w:rsidR="003560AC" w:rsidRPr="001323E4">
              <w:rPr>
                <w:sz w:val="20"/>
                <w:szCs w:val="20"/>
              </w:rPr>
              <w:t>Příjemce</w:t>
            </w:r>
            <w:r w:rsidRPr="001323E4">
              <w:rPr>
                <w:sz w:val="20"/>
                <w:szCs w:val="20"/>
              </w:rPr>
              <w:t xml:space="preserve"> má povinnost naplnit cílovou hodnotu k datu ukončení realizace projektu.</w:t>
            </w:r>
          </w:p>
          <w:p w14:paraId="3B6049EA" w14:textId="77777777" w:rsidR="00AE1AB4" w:rsidRPr="001323E4" w:rsidRDefault="00AE1AB4" w:rsidP="00C56C20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1323E4">
              <w:rPr>
                <w:b/>
                <w:sz w:val="20"/>
                <w:szCs w:val="20"/>
                <w:u w:val="single"/>
              </w:rPr>
              <w:t>Dosažená hodnota:</w:t>
            </w:r>
            <w:r w:rsidRPr="001323E4">
              <w:rPr>
                <w:b/>
                <w:sz w:val="20"/>
                <w:szCs w:val="20"/>
              </w:rPr>
              <w:t xml:space="preserve"> </w:t>
            </w:r>
            <w:r w:rsidRPr="001323E4">
              <w:rPr>
                <w:sz w:val="20"/>
                <w:szCs w:val="20"/>
              </w:rPr>
              <w:t>skutečný podíl zpřístupněných a/nebo zefektivněných muzejních/galerijních podsbírek (tedy těch, které byly zpřístupněny/zefektivněny před podáním žádosti + těch, které budou v rámci projektu zefektivněny v rámci IROP) na počtu všech muzejních/galerijních podsbírek a knihovních fondů ve správě příjemce.</w:t>
            </w:r>
          </w:p>
          <w:p w14:paraId="78007324" w14:textId="0F9E28E0" w:rsidR="00AE1AB4" w:rsidRPr="00764007" w:rsidRDefault="00AE1AB4" w:rsidP="00C56C20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1323E4">
              <w:rPr>
                <w:b/>
                <w:sz w:val="20"/>
                <w:szCs w:val="20"/>
                <w:u w:val="single"/>
              </w:rPr>
              <w:t>Tolerance</w:t>
            </w:r>
            <w:r w:rsidRPr="001323E4">
              <w:rPr>
                <w:b/>
                <w:sz w:val="20"/>
                <w:szCs w:val="20"/>
              </w:rPr>
              <w:t xml:space="preserve">: žádná, </w:t>
            </w:r>
            <w:r w:rsidRPr="001323E4">
              <w:rPr>
                <w:sz w:val="20"/>
                <w:szCs w:val="20"/>
              </w:rPr>
              <w:t>pokud není naplněna cílová hodnota, projekt nesplnil svůj cíl.</w:t>
            </w:r>
            <w:r w:rsidRPr="001323E4">
              <w:rPr>
                <w:color w:val="FF0000"/>
              </w:rPr>
              <w:t xml:space="preserve"> </w:t>
            </w:r>
            <w:r w:rsidRPr="001323E4">
              <w:rPr>
                <w:sz w:val="20"/>
                <w:szCs w:val="20"/>
              </w:rPr>
              <w:t>Pokud se během realizace projektu objeví skutečnosti, které vedou k nenaplnění či překročení cílové</w:t>
            </w:r>
            <w:r>
              <w:rPr>
                <w:sz w:val="20"/>
                <w:szCs w:val="20"/>
              </w:rPr>
              <w:t xml:space="preserve"> hodnoty indikátoru, je nutné s</w:t>
            </w:r>
            <w:r w:rsidR="009B4D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444E23D0" w14:textId="06C7B86D" w:rsidR="00AE1AB4" w:rsidRPr="00B276E4" w:rsidRDefault="00AE1AB4" w:rsidP="009B4DCE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 xml:space="preserve">Výše a typ sankce, </w:t>
            </w:r>
            <w:r>
              <w:rPr>
                <w:sz w:val="20"/>
                <w:szCs w:val="20"/>
              </w:rPr>
              <w:t>aplikované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</w:t>
            </w:r>
            <w:r>
              <w:rPr>
                <w:sz w:val="20"/>
                <w:szCs w:val="20"/>
              </w:rPr>
              <w:t>ní cílové hodnoty indikátoru, jsou stanovené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9B4DCE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právního aktu.</w:t>
            </w:r>
          </w:p>
        </w:tc>
      </w:tr>
      <w:tr w:rsidR="00AE1AB4" w:rsidRPr="0098535B" w14:paraId="0581C5E1" w14:textId="77777777" w:rsidTr="00C56C20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28F7B80" w14:textId="77777777" w:rsidR="00AE1AB4" w:rsidRPr="0070197F" w:rsidRDefault="00AE1AB4" w:rsidP="00C56C20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E1AB4" w:rsidRPr="0098535B" w14:paraId="75D4081A" w14:textId="77777777" w:rsidTr="00C56C20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90FD43" w14:textId="0AC256BE" w:rsidR="00AE1AB4" w:rsidRPr="000E2AF2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9B4DCE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B50D9D7" w14:textId="77777777" w:rsidR="00AE1AB4" w:rsidRPr="000E2AF2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7C1F986" w14:textId="77777777" w:rsidR="00AE1AB4" w:rsidRPr="000E2AF2" w:rsidRDefault="00AE1AB4" w:rsidP="00C56C20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78E8397" w14:textId="77777777" w:rsidR="00AE1AB4" w:rsidRPr="000E2AF2" w:rsidRDefault="00AE1AB4" w:rsidP="00C56C20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15AFFA3" w14:textId="77777777" w:rsidR="00AE1AB4" w:rsidRDefault="00AE1AB4" w:rsidP="00C56C20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2B0DEA81" w14:textId="77777777" w:rsidR="00D1085C" w:rsidRPr="00981408" w:rsidRDefault="00AE1AB4" w:rsidP="00D1085C">
            <w:pPr>
              <w:spacing w:before="120" w:after="120"/>
              <w:ind w:left="170" w:right="170"/>
              <w:rPr>
                <w:b/>
                <w:color w:val="000000"/>
                <w:sz w:val="24"/>
                <w:szCs w:val="24"/>
                <w:u w:val="single"/>
              </w:rPr>
            </w:pPr>
            <w:r w:rsidRPr="00981408">
              <w:rPr>
                <w:b/>
                <w:color w:val="000000"/>
                <w:sz w:val="24"/>
                <w:szCs w:val="24"/>
                <w:u w:val="single"/>
              </w:rPr>
              <w:t>Výpočet</w:t>
            </w:r>
            <w:r w:rsidR="00D1085C" w:rsidRPr="00981408">
              <w:rPr>
                <w:b/>
                <w:color w:val="000000"/>
                <w:sz w:val="24"/>
                <w:szCs w:val="24"/>
                <w:u w:val="single"/>
              </w:rPr>
              <w:t xml:space="preserve"> pro muzea:</w:t>
            </w:r>
          </w:p>
          <w:p w14:paraId="4FEA2BFB" w14:textId="77777777" w:rsidR="00AE1AB4" w:rsidRPr="00981408" w:rsidRDefault="00AE1AB4" w:rsidP="00C56C20">
            <w:pPr>
              <w:spacing w:before="120" w:after="120"/>
              <w:ind w:left="170" w:right="170"/>
              <w:rPr>
                <w:rFonts w:asciiTheme="majorHAnsi" w:eastAsiaTheme="minorEastAsia" w:hAnsiTheme="majorHAnsi"/>
                <w:b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  <w:sz w:val="24"/>
                    <w:szCs w:val="24"/>
                  </w:rPr>
                  <m:t>ý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choz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  <w:sz w:val="24"/>
                    <w:szCs w:val="24"/>
                  </w:rPr>
                  <m:t>í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 xml:space="preserve"> hodnota indik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  <w:sz w:val="24"/>
                    <w:szCs w:val="24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toru</m:t>
                </m:r>
              </m:oMath>
            </m:oMathPara>
          </w:p>
          <w:p w14:paraId="65A62335" w14:textId="77777777" w:rsidR="00AE1AB4" w:rsidRPr="0094354D" w:rsidRDefault="00AE1AB4" w:rsidP="00981408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počet  zpřístupněných a zefektivněných muzejních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galerijních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podsbírek  ve správě příjemce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před dnem zahájení realizace projektu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počet všech podsbírek ve správě příjemce,   které je možné podpořit z IROP</m:t>
                  </m:r>
                </m:den>
              </m:f>
            </m:oMath>
            <w:r w:rsidRPr="0094354D">
              <w:rPr>
                <w:rFonts w:eastAsiaTheme="minorEastAsia"/>
                <w:color w:val="000000"/>
              </w:rPr>
              <w:t xml:space="preserve"> x 100</w:t>
            </w:r>
          </w:p>
          <w:p w14:paraId="31A19F17" w14:textId="77777777" w:rsidR="00AE1AB4" w:rsidRPr="0004138D" w:rsidRDefault="00AE1AB4" w:rsidP="00981408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color w:val="000000"/>
                <w:sz w:val="18"/>
                <w:szCs w:val="18"/>
              </w:rPr>
            </w:pPr>
          </w:p>
          <w:p w14:paraId="20611258" w14:textId="77777777" w:rsidR="00AE1AB4" w:rsidRPr="00981408" w:rsidRDefault="00AE1AB4" w:rsidP="00981408">
            <w:pPr>
              <w:spacing w:before="120" w:after="120"/>
              <w:ind w:left="170" w:right="170"/>
              <w:jc w:val="center"/>
              <w:rPr>
                <w:rFonts w:asciiTheme="majorHAnsi" w:eastAsiaTheme="minorEastAsia" w:hAnsiTheme="majorHAnsi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í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lov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 xml:space="preserve"> a dosa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ž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en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 xml:space="preserve"> hodnota indik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toru</m:t>
                </m:r>
              </m:oMath>
            </m:oMathPara>
          </w:p>
          <w:p w14:paraId="47097D67" w14:textId="77777777" w:rsidR="00AE1AB4" w:rsidRPr="0094354D" w:rsidRDefault="00AE1AB4" w:rsidP="00981408">
            <w:pPr>
              <w:spacing w:before="120" w:after="120"/>
              <w:ind w:left="170" w:right="170"/>
              <w:jc w:val="center"/>
              <w:rPr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počet všech zpřístupněných a zefektivněných muzejních podsbírek  ve správě příjemce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(před dnem zahájení realizace projektu +v rámci podpořeného projektu IROP)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počet všech podsbírek ve správě příjemce,   které je možné podpořit z IROP</m:t>
                  </m:r>
                </m:den>
              </m:f>
            </m:oMath>
            <w:r w:rsidRPr="0094354D">
              <w:rPr>
                <w:rFonts w:eastAsiaTheme="minorEastAsia"/>
                <w:color w:val="000000"/>
                <w:sz w:val="24"/>
                <w:szCs w:val="24"/>
              </w:rPr>
              <w:t xml:space="preserve"> x 100</w:t>
            </w:r>
          </w:p>
          <w:p w14:paraId="521CC48A" w14:textId="77777777" w:rsidR="00AE1AB4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812573">
              <w:rPr>
                <w:color w:val="000000"/>
                <w:sz w:val="20"/>
                <w:szCs w:val="20"/>
              </w:rPr>
              <w:t>Hodnoty jsou vykazovány s přesností na dvě desetinná místa.</w:t>
            </w:r>
          </w:p>
          <w:p w14:paraId="34ACC018" w14:textId="77777777" w:rsidR="00D1085C" w:rsidRPr="00981408" w:rsidRDefault="00D1085C" w:rsidP="00C56C20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</w:rPr>
            </w:pPr>
          </w:p>
          <w:p w14:paraId="62522A04" w14:textId="77777777" w:rsidR="00237475" w:rsidRDefault="00D1085C" w:rsidP="00510B66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81408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Výpočet pro knihovny:</w:t>
            </w:r>
          </w:p>
          <w:p w14:paraId="0522B85E" w14:textId="77777777" w:rsidR="00237475" w:rsidRPr="00981408" w:rsidRDefault="00237475" w:rsidP="00237475">
            <w:pPr>
              <w:spacing w:before="120" w:after="120"/>
              <w:ind w:left="170" w:right="170"/>
              <w:rPr>
                <w:rFonts w:eastAsiaTheme="minorEastAsia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V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ý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choz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í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 xml:space="preserve"> hodnota indik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toru</m:t>
                </m:r>
              </m:oMath>
            </m:oMathPara>
          </w:p>
          <w:p w14:paraId="2007AA9E" w14:textId="77777777" w:rsidR="00237475" w:rsidRPr="00981408" w:rsidRDefault="00237475" w:rsidP="00237475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č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et  zp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stupn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ch a zefektivn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ch knihovn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ch fond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ů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ve spr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jemce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ed dnem zah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jen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realizace projektu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po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et v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š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ech knihovn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í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ch fond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ů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 xml:space="preserve"> ve spr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á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ě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 xml:space="preserve"> p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ří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jemce</m:t>
                  </m:r>
                </m:den>
              </m:f>
            </m:oMath>
            <w:r w:rsidRPr="00981408">
              <w:rPr>
                <w:rFonts w:eastAsiaTheme="minorEastAsia"/>
                <w:color w:val="000000"/>
              </w:rPr>
              <w:t xml:space="preserve">       x 100</w:t>
            </w:r>
          </w:p>
          <w:p w14:paraId="61293947" w14:textId="77777777" w:rsidR="00237475" w:rsidRPr="00981408" w:rsidRDefault="00237475" w:rsidP="00237475">
            <w:pPr>
              <w:spacing w:before="120" w:after="120"/>
              <w:ind w:left="170" w:right="170"/>
              <w:rPr>
                <w:rFonts w:eastAsiaTheme="minorEastAsia"/>
                <w:b/>
                <w:color w:val="000000"/>
              </w:rPr>
            </w:pPr>
          </w:p>
          <w:p w14:paraId="05873662" w14:textId="77777777" w:rsidR="00237475" w:rsidRPr="00981408" w:rsidRDefault="00237475" w:rsidP="00237475">
            <w:pPr>
              <w:spacing w:before="120" w:after="120"/>
              <w:ind w:left="170" w:right="170"/>
              <w:rPr>
                <w:rFonts w:eastAsiaTheme="minorEastAsia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í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lov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 xml:space="preserve"> a dosa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ž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en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 xml:space="preserve"> hodnota indik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color w:val="000000"/>
                  </w:rPr>
                  <m:t>á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</w:rPr>
                  <m:t>toru</m:t>
                </m:r>
              </m:oMath>
            </m:oMathPara>
          </w:p>
          <w:p w14:paraId="2F3DFC0F" w14:textId="219BA671" w:rsidR="00510B66" w:rsidRPr="00981408" w:rsidRDefault="00237475" w:rsidP="00237475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81408">
              <w:rPr>
                <w:rFonts w:eastAsiaTheme="minorEastAsia"/>
                <w:color w:val="000000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č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et 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ech zp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stupn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ch a zefektivn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ch podsb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rek/knihovn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ch fond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ů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ve spr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ě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jemce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ed dnem zah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jen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í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realizace projektu +v 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mci podpo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ř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é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ho projektu IROP)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po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et v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š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ech knihovn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í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ch fond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ů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 xml:space="preserve"> ve spr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á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ě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 xml:space="preserve"> p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/>
                    </w:rPr>
                    <m:t>ří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jemce</m:t>
                  </m:r>
                </m:den>
              </m:f>
            </m:oMath>
            <w:r w:rsidRPr="00981408">
              <w:rPr>
                <w:rFonts w:eastAsiaTheme="minorEastAsia"/>
                <w:color w:val="000000"/>
              </w:rPr>
              <w:t xml:space="preserve">       x</w:t>
            </w:r>
            <w:r w:rsidR="00937AC2">
              <w:rPr>
                <w:rFonts w:eastAsiaTheme="minorEastAsia"/>
                <w:color w:val="000000"/>
              </w:rPr>
              <w:t xml:space="preserve"> </w:t>
            </w:r>
            <w:r w:rsidRPr="00981408">
              <w:rPr>
                <w:rFonts w:eastAsiaTheme="minorEastAsia"/>
                <w:color w:val="000000"/>
              </w:rPr>
              <w:t>100</w:t>
            </w:r>
          </w:p>
          <w:p w14:paraId="77FB9699" w14:textId="77777777" w:rsidR="00237475" w:rsidRDefault="00237475" w:rsidP="00981408">
            <w:pPr>
              <w:spacing w:before="120" w:after="120"/>
              <w:ind w:left="170" w:right="170"/>
              <w:jc w:val="center"/>
              <w:rPr>
                <w:color w:val="000000"/>
                <w:sz w:val="20"/>
                <w:szCs w:val="20"/>
              </w:rPr>
            </w:pPr>
          </w:p>
          <w:p w14:paraId="09CD72E8" w14:textId="77777777" w:rsidR="00AE1AB4" w:rsidRDefault="00AE1AB4" w:rsidP="00C56C20">
            <w:pPr>
              <w:spacing w:before="120" w:after="120"/>
              <w:ind w:left="170" w:right="17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PŘÍKLAD VÝPOČTU č. 1</w:t>
            </w:r>
          </w:p>
          <w:p w14:paraId="29BDE38F" w14:textId="77777777" w:rsidR="00AE1AB4" w:rsidRPr="0094354D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4354D">
              <w:rPr>
                <w:b/>
                <w:bCs/>
                <w:color w:val="000000"/>
                <w:sz w:val="20"/>
                <w:szCs w:val="20"/>
                <w:u w:val="single"/>
              </w:rPr>
              <w:t>Výchozí hodnota:</w:t>
            </w:r>
            <w:r w:rsidRPr="0094354D">
              <w:rPr>
                <w:color w:val="000000"/>
                <w:sz w:val="20"/>
                <w:szCs w:val="20"/>
              </w:rPr>
              <w:t xml:space="preserve"> Muzeum má již nějakým způsobem zpřístupněno všech 10 podsbírek, ale v rámci IROP jich plánuje 5 zefektivnit. Čitatel ve vzorci je </w:t>
            </w:r>
            <w:r w:rsidRPr="00AE1AB4">
              <w:rPr>
                <w:color w:val="000000"/>
                <w:sz w:val="20"/>
                <w:szCs w:val="20"/>
              </w:rPr>
              <w:t>v tomto p</w:t>
            </w:r>
            <w:r w:rsidRPr="0094354D">
              <w:rPr>
                <w:color w:val="000000"/>
                <w:sz w:val="20"/>
                <w:szCs w:val="20"/>
              </w:rPr>
              <w:t>řípadě</w:t>
            </w:r>
            <w:r w:rsidRPr="00AE1AB4">
              <w:rPr>
                <w:color w:val="000000"/>
                <w:sz w:val="20"/>
                <w:szCs w:val="20"/>
              </w:rPr>
              <w:t xml:space="preserve">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4354D">
              <w:rPr>
                <w:color w:val="000000"/>
                <w:sz w:val="20"/>
                <w:szCs w:val="20"/>
              </w:rPr>
              <w:t xml:space="preserve">, výchozí hodnota je tedy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AE1AB4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AE1AB4">
              <w:rPr>
                <w:color w:val="000000"/>
                <w:sz w:val="20"/>
                <w:szCs w:val="20"/>
              </w:rPr>
              <w:t>.</w:t>
            </w:r>
          </w:p>
          <w:p w14:paraId="74CF9E0B" w14:textId="77777777" w:rsidR="00AE1AB4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lang w:val="en-US"/>
              </w:rPr>
            </w:pPr>
            <w:r w:rsidRPr="0094354D">
              <w:rPr>
                <w:b/>
                <w:bCs/>
                <w:color w:val="000000"/>
                <w:sz w:val="20"/>
                <w:szCs w:val="20"/>
                <w:u w:val="single"/>
              </w:rPr>
              <w:t>Cílová hodnota:</w:t>
            </w:r>
            <w:r w:rsidRPr="0094354D">
              <w:rPr>
                <w:color w:val="000000"/>
                <w:sz w:val="20"/>
                <w:szCs w:val="20"/>
              </w:rPr>
              <w:t xml:space="preserve"> Muzeum v rámci projektu IROP plánuje zefektivnit 5 podsbírek. Čitatel ve vzorci je v tomto případě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4354D">
              <w:rPr>
                <w:color w:val="000000"/>
                <w:sz w:val="20"/>
                <w:szCs w:val="20"/>
              </w:rPr>
              <w:t xml:space="preserve">, jmenovatel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94354D">
              <w:rPr>
                <w:color w:val="000000"/>
                <w:sz w:val="20"/>
                <w:szCs w:val="20"/>
              </w:rPr>
              <w:t xml:space="preserve">, cílová hodnota je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 xml:space="preserve">50 </w:t>
            </w:r>
            <w:r w:rsidRPr="0094354D">
              <w:rPr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94354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BEEF592" w14:textId="77777777" w:rsidR="00AE1AB4" w:rsidRDefault="00AE1AB4" w:rsidP="00C56C20">
            <w:pPr>
              <w:spacing w:before="120" w:after="120"/>
              <w:ind w:left="170" w:right="17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PŘÍKLAD VÝPOČTU č. 2</w:t>
            </w:r>
          </w:p>
          <w:p w14:paraId="794FB954" w14:textId="77777777" w:rsidR="00AE1AB4" w:rsidRPr="0094354D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4354D">
              <w:rPr>
                <w:b/>
                <w:bCs/>
                <w:color w:val="000000"/>
                <w:sz w:val="20"/>
                <w:szCs w:val="20"/>
                <w:u w:val="single"/>
              </w:rPr>
              <w:t>Výchozí hodnota:</w:t>
            </w:r>
            <w:r w:rsidRPr="0094354D">
              <w:rPr>
                <w:color w:val="000000"/>
                <w:sz w:val="20"/>
                <w:szCs w:val="20"/>
              </w:rPr>
              <w:t xml:space="preserve"> Muzeum má celkem 10 podsbírek, z toho 5 již bylo v minulosti zefektivněno, takže nebudou předmětem podpory z IROP. V rámci IROP jich plánuje 5 zefektivnit. Čitatel ve vzorci je </w:t>
            </w:r>
            <w:r w:rsidRPr="00AE1AB4">
              <w:rPr>
                <w:color w:val="000000"/>
                <w:sz w:val="20"/>
                <w:szCs w:val="20"/>
              </w:rPr>
              <w:t>v tomto p</w:t>
            </w:r>
            <w:r w:rsidRPr="0094354D">
              <w:rPr>
                <w:color w:val="000000"/>
                <w:sz w:val="20"/>
                <w:szCs w:val="20"/>
              </w:rPr>
              <w:t>řípadě</w:t>
            </w:r>
            <w:r w:rsidRPr="00AE1AB4">
              <w:rPr>
                <w:color w:val="000000"/>
                <w:sz w:val="20"/>
                <w:szCs w:val="20"/>
              </w:rPr>
              <w:t xml:space="preserve">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4354D">
              <w:rPr>
                <w:color w:val="000000"/>
                <w:sz w:val="20"/>
                <w:szCs w:val="20"/>
              </w:rPr>
              <w:t xml:space="preserve">, výchozí hodnota je tedy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 xml:space="preserve">50 </w:t>
            </w:r>
            <w:r w:rsidRPr="00AE1AB4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AE1AB4">
              <w:rPr>
                <w:color w:val="000000"/>
                <w:sz w:val="20"/>
                <w:szCs w:val="20"/>
              </w:rPr>
              <w:t>.</w:t>
            </w:r>
          </w:p>
          <w:p w14:paraId="0285BCD0" w14:textId="77777777" w:rsidR="00AE1AB4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lang w:val="en-US"/>
              </w:rPr>
            </w:pPr>
            <w:r w:rsidRPr="0094354D">
              <w:rPr>
                <w:b/>
                <w:bCs/>
                <w:color w:val="000000"/>
                <w:sz w:val="20"/>
                <w:szCs w:val="20"/>
                <w:u w:val="single"/>
              </w:rPr>
              <w:t>Cílová hodnota:</w:t>
            </w:r>
            <w:r w:rsidRPr="0094354D">
              <w:rPr>
                <w:color w:val="000000"/>
                <w:sz w:val="20"/>
                <w:szCs w:val="20"/>
              </w:rPr>
              <w:t xml:space="preserve"> Muzeum v rámci projektu IROP plánuje zefektivnit 5 podsbírek. Čitatel ve vzorci je v tomto případě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94354D">
              <w:rPr>
                <w:color w:val="000000"/>
                <w:sz w:val="20"/>
                <w:szCs w:val="20"/>
              </w:rPr>
              <w:t xml:space="preserve">, jmenovatel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94354D">
              <w:rPr>
                <w:color w:val="000000"/>
                <w:sz w:val="20"/>
                <w:szCs w:val="20"/>
              </w:rPr>
              <w:t xml:space="preserve">, cílová hodnota je </w:t>
            </w:r>
            <w:r w:rsidRPr="0094354D"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  <w:r w:rsidRPr="0094354D">
              <w:rPr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94354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FA91D40" w14:textId="77777777" w:rsidR="00237475" w:rsidRPr="00812573" w:rsidRDefault="00684EAC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Analogické příklady lze aplikovat i na knihovní fondy.</w:t>
            </w:r>
          </w:p>
        </w:tc>
      </w:tr>
    </w:tbl>
    <w:p w14:paraId="6247B4D8" w14:textId="77777777" w:rsidR="00AE1AB4" w:rsidRDefault="00AE1AB4" w:rsidP="004321C3">
      <w:pPr>
        <w:tabs>
          <w:tab w:val="left" w:pos="12000"/>
        </w:tabs>
      </w:pPr>
      <w:r>
        <w:lastRenderedPageBreak/>
        <w:br w:type="page"/>
      </w:r>
    </w:p>
    <w:p w14:paraId="73F1B5C8" w14:textId="77777777" w:rsidR="00AE1AB4" w:rsidRDefault="00AE1AB4" w:rsidP="004321C3">
      <w:pPr>
        <w:tabs>
          <w:tab w:val="left" w:pos="12000"/>
        </w:tabs>
        <w:sectPr w:rsidR="00AE1AB4" w:rsidSect="00AE1AB4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E1AB4" w:rsidRPr="0098535B" w14:paraId="5E643CE0" w14:textId="77777777" w:rsidTr="00C56C20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AD7A867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E1AB4" w:rsidRPr="0098535B" w14:paraId="4203916F" w14:textId="77777777" w:rsidTr="00C56C20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045D3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1AB4" w:rsidRPr="0098535B" w14:paraId="7B475F36" w14:textId="77777777" w:rsidTr="00C56C20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DEF2ABD" w14:textId="77777777" w:rsidR="00AE1AB4" w:rsidRPr="00194C06" w:rsidRDefault="00AE1AB4" w:rsidP="00C56C20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75447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zpřístupněných a zefektivněných podsbírek a fondů</w:t>
            </w:r>
          </w:p>
        </w:tc>
      </w:tr>
      <w:tr w:rsidR="00AE1AB4" w:rsidRPr="0098535B" w14:paraId="1262FBF1" w14:textId="77777777" w:rsidTr="00C56C20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C1C908D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E26DD3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9C3A8C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7F19A7" w14:textId="77777777" w:rsidR="00AE1AB4" w:rsidRPr="0098535B" w:rsidRDefault="00AE1AB4" w:rsidP="00C56C20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207DAD5" w14:textId="77777777" w:rsidR="00AE1AB4" w:rsidRPr="0098535B" w:rsidRDefault="00AE1AB4" w:rsidP="00C56C20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E1AB4" w:rsidRPr="0098535B" w14:paraId="3A8DF672" w14:textId="77777777" w:rsidTr="00C56C20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8DD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75447">
              <w:rPr>
                <w:b/>
                <w:bCs/>
                <w:color w:val="000000"/>
              </w:rPr>
              <w:t>9 07 03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EF5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8C78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975447">
              <w:rPr>
                <w:b/>
                <w:bCs/>
                <w:color w:val="000000"/>
              </w:rPr>
              <w:t>Podsbírky/fondy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BA9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94487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26AF5" w14:textId="77777777" w:rsidR="00AE1AB4" w:rsidRPr="0098535B" w:rsidRDefault="00AE1AB4" w:rsidP="00C56C20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E1AB4" w:rsidRPr="0098535B" w14:paraId="38340BE8" w14:textId="77777777" w:rsidTr="00C56C20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344B27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1AB4" w:rsidRPr="0098535B" w14:paraId="4ECD7FEF" w14:textId="77777777" w:rsidTr="00C56C20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B99D1F" w14:textId="59781481" w:rsidR="00AE1AB4" w:rsidRPr="00B276E4" w:rsidRDefault="00AE1AB4" w:rsidP="009B4DCE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75447">
              <w:rPr>
                <w:sz w:val="20"/>
                <w:szCs w:val="20"/>
              </w:rPr>
              <w:t>Jedná se o počet nově zpřístupněných a/nebo zefektivněných muzejních/galerijních podsbírek a/nebo knihovních fondů, které budou např. lépe zabezpečeny a/nebo ochráněny proti nejrůznějším negativním vlivům a/nebo lépe uchovány pro další generace včetně možného fyzického či elektronického zpřístupnění např. pro vědecké/badatelské, profesní, zájmové, vzdělávací či propagační účely apod. Zpřístupněním je v</w:t>
            </w:r>
            <w:r w:rsidR="009B4DCE">
              <w:rPr>
                <w:sz w:val="20"/>
                <w:szCs w:val="20"/>
              </w:rPr>
              <w:t> </w:t>
            </w:r>
            <w:r w:rsidRPr="00975447">
              <w:rPr>
                <w:sz w:val="20"/>
                <w:szCs w:val="20"/>
              </w:rPr>
              <w:t>tomto smyslu myšlena i např. modernizace dotčených prostor pro uváděné účely, popř. vybudování nezbytných objektů sociálního, technického/technologického zázemí či realizace opatření vedoucích k</w:t>
            </w:r>
            <w:r w:rsidR="009B4DCE">
              <w:rPr>
                <w:sz w:val="20"/>
                <w:szCs w:val="20"/>
              </w:rPr>
              <w:t> </w:t>
            </w:r>
            <w:r w:rsidRPr="00975447">
              <w:rPr>
                <w:sz w:val="20"/>
                <w:szCs w:val="20"/>
              </w:rPr>
              <w:t>zajištění vyšší bezpečnosti návštěvníků, odstraňování přístupových bariér apod.</w:t>
            </w:r>
          </w:p>
        </w:tc>
      </w:tr>
      <w:tr w:rsidR="00AE1AB4" w:rsidRPr="0098535B" w14:paraId="70750E01" w14:textId="77777777" w:rsidTr="00C56C20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B1CD37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C1A8536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AE1AB4" w:rsidRPr="0098535B" w14:paraId="622C61B0" w14:textId="77777777" w:rsidTr="00C56C20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EB4" w14:textId="77777777" w:rsidR="00AE1AB4" w:rsidRPr="0098535B" w:rsidRDefault="00AE1AB4" w:rsidP="00C56C20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3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767937">
              <w:t>Dobrá správa území a zefektivnění veřejných institucí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7906D" w14:textId="77777777" w:rsidR="00AE1AB4" w:rsidRPr="00767937" w:rsidRDefault="00AE1AB4" w:rsidP="00C56C20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7937">
              <w:rPr>
                <w:b/>
                <w:color w:val="000000"/>
              </w:rPr>
              <w:t>3.1</w:t>
            </w:r>
            <w:r w:rsidRPr="00767937">
              <w:rPr>
                <w:color w:val="000000"/>
              </w:rPr>
              <w:t xml:space="preserve"> - </w:t>
            </w:r>
            <w:r w:rsidRPr="00767937">
              <w:t>Zefektivnění prezentace, posílení ochrany a rozvoje kulturního dědictví</w:t>
            </w:r>
          </w:p>
        </w:tc>
      </w:tr>
      <w:tr w:rsidR="00AE1AB4" w:rsidRPr="0098535B" w14:paraId="06381539" w14:textId="77777777" w:rsidTr="00C56C20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AC90B3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E1AB4" w:rsidRPr="0098535B" w14:paraId="0C806BA6" w14:textId="77777777" w:rsidTr="00C56C20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092D84A" w14:textId="77777777" w:rsidR="00AE1AB4" w:rsidRPr="0098535B" w:rsidRDefault="00AE1AB4" w:rsidP="00C56C20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E1AB4" w:rsidRPr="0098535B" w14:paraId="7FB87CDC" w14:textId="77777777" w:rsidTr="00C56C20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5AE6DD6" w14:textId="77777777" w:rsidR="00AE1AB4" w:rsidRPr="0098535B" w:rsidRDefault="00AE1AB4" w:rsidP="00C56C20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E1AB4" w:rsidRPr="0098535B" w14:paraId="2F447221" w14:textId="77777777" w:rsidTr="00C56C20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39B071F" w14:textId="77777777" w:rsidR="00AE1AB4" w:rsidRDefault="00AE1AB4" w:rsidP="001323E4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</w:t>
            </w:r>
            <w:r w:rsidR="00237475">
              <w:rPr>
                <w:sz w:val="20"/>
                <w:szCs w:val="20"/>
              </w:rPr>
              <w:t>muzeí a knihoven</w:t>
            </w:r>
            <w:r>
              <w:rPr>
                <w:sz w:val="20"/>
                <w:szCs w:val="20"/>
              </w:rPr>
              <w:t>. Z</w:t>
            </w:r>
            <w:r w:rsidRPr="00975447">
              <w:rPr>
                <w:sz w:val="20"/>
                <w:szCs w:val="20"/>
              </w:rPr>
              <w:t>pří</w:t>
            </w:r>
            <w:r>
              <w:rPr>
                <w:sz w:val="20"/>
                <w:szCs w:val="20"/>
              </w:rPr>
              <w:t xml:space="preserve">stupněnou a/nebo zefektivněnou podsbírkou je myšlena každá podsbírka, která je přímo podpořena v rámci projektu IROP. </w:t>
            </w:r>
            <w:r w:rsidR="00237475">
              <w:rPr>
                <w:sz w:val="20"/>
                <w:szCs w:val="20"/>
              </w:rPr>
              <w:t>Z</w:t>
            </w:r>
            <w:r w:rsidR="00237475" w:rsidRPr="00975447">
              <w:rPr>
                <w:sz w:val="20"/>
                <w:szCs w:val="20"/>
              </w:rPr>
              <w:t>pří</w:t>
            </w:r>
            <w:r w:rsidR="00237475">
              <w:rPr>
                <w:sz w:val="20"/>
                <w:szCs w:val="20"/>
              </w:rPr>
              <w:t>stupněným a/nebo zefektivněným fondem je myšlen knihovní fond podpořený v rámci projektu IROP.</w:t>
            </w:r>
          </w:p>
          <w:p w14:paraId="4D6D0C33" w14:textId="492C751E" w:rsidR="00AE1AB4" w:rsidRPr="0099087B" w:rsidRDefault="00AE1AB4" w:rsidP="001323E4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zpřístupněných a zefektivněných podsbírek</w:t>
            </w:r>
            <w:r w:rsidR="00237475">
              <w:rPr>
                <w:sz w:val="20"/>
                <w:szCs w:val="20"/>
              </w:rPr>
              <w:t>/knihovních fondů</w:t>
            </w:r>
            <w:r>
              <w:rPr>
                <w:sz w:val="20"/>
                <w:szCs w:val="20"/>
              </w:rPr>
              <w:t xml:space="preserve">. </w:t>
            </w:r>
            <w:r w:rsidR="002371D7">
              <w:rPr>
                <w:sz w:val="20"/>
                <w:szCs w:val="20"/>
              </w:rPr>
              <w:t xml:space="preserve">Příjemce </w:t>
            </w:r>
            <w:r>
              <w:rPr>
                <w:sz w:val="20"/>
                <w:szCs w:val="20"/>
              </w:rPr>
              <w:t>se zavazuje stanovenou hodnotu naplnit k datu ukončení realizace projektu.</w:t>
            </w:r>
          </w:p>
          <w:p w14:paraId="6B79D57E" w14:textId="03A49892" w:rsidR="00AE1AB4" w:rsidRDefault="00AE1AB4" w:rsidP="001323E4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nově zpřístupněných a zefektivněných podsbírek</w:t>
            </w:r>
            <w:r w:rsidR="00237475">
              <w:rPr>
                <w:sz w:val="20"/>
                <w:szCs w:val="20"/>
              </w:rPr>
              <w:t>/knihovních fondů</w:t>
            </w:r>
            <w:r>
              <w:rPr>
                <w:sz w:val="20"/>
                <w:szCs w:val="20"/>
              </w:rPr>
              <w:t xml:space="preserve"> k datu ukončení realizace projektu.</w:t>
            </w:r>
          </w:p>
          <w:p w14:paraId="3C00423A" w14:textId="7D70B7F2" w:rsidR="00AE1AB4" w:rsidRPr="00764007" w:rsidRDefault="00AE1AB4" w:rsidP="00C56C20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2164B6">
              <w:rPr>
                <w:b/>
                <w:sz w:val="20"/>
                <w:szCs w:val="20"/>
                <w:u w:val="single"/>
              </w:rPr>
              <w:t>Tolerance:</w:t>
            </w:r>
            <w:r>
              <w:rPr>
                <w:b/>
                <w:sz w:val="20"/>
                <w:szCs w:val="20"/>
              </w:rPr>
              <w:t xml:space="preserve">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9B4DC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0F983DC" w14:textId="24734DA7" w:rsidR="00AE1AB4" w:rsidRPr="00B276E4" w:rsidRDefault="00AE1AB4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</w:t>
            </w:r>
            <w:r w:rsidR="00F34FF0">
              <w:rPr>
                <w:sz w:val="20"/>
                <w:szCs w:val="20"/>
              </w:rPr>
              <w:t xml:space="preserve"> (mimo rozmezí stanovené tolerance)</w:t>
            </w:r>
            <w:r w:rsidRPr="00BB1C6F">
              <w:rPr>
                <w:sz w:val="20"/>
                <w:szCs w:val="20"/>
              </w:rPr>
              <w:t xml:space="preserve">, je stanovena v Podmínkách </w:t>
            </w:r>
            <w:r w:rsidR="00F34FF0">
              <w:rPr>
                <w:sz w:val="20"/>
                <w:szCs w:val="20"/>
              </w:rPr>
              <w:t>Právního aktu</w:t>
            </w:r>
            <w:r w:rsidRPr="00BB1C6F">
              <w:rPr>
                <w:sz w:val="20"/>
                <w:szCs w:val="20"/>
              </w:rPr>
              <w:t>.</w:t>
            </w:r>
          </w:p>
        </w:tc>
      </w:tr>
      <w:tr w:rsidR="00AE1AB4" w:rsidRPr="0098535B" w14:paraId="44C17950" w14:textId="77777777" w:rsidTr="00C56C20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DB2258" w14:textId="77777777" w:rsidR="00AE1AB4" w:rsidRPr="0070197F" w:rsidRDefault="00AE1AB4" w:rsidP="00C56C20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E1AB4" w:rsidRPr="0098535B" w14:paraId="5F68E99A" w14:textId="77777777" w:rsidTr="00C56C20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7C8E7" w14:textId="26F7C75C" w:rsidR="00AE1AB4" w:rsidRPr="000E2AF2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9B4DCE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3BC333C3" w14:textId="77777777" w:rsidR="00AE1AB4" w:rsidRPr="000E2AF2" w:rsidRDefault="00AE1AB4" w:rsidP="00C56C20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4AA5A49E" w14:textId="77777777" w:rsidR="00AE1AB4" w:rsidRPr="000E2AF2" w:rsidRDefault="00AE1AB4" w:rsidP="00C56C20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4FA92700" w14:textId="77777777" w:rsidR="00AE1AB4" w:rsidRPr="000E2AF2" w:rsidRDefault="00AE1AB4" w:rsidP="00C56C20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74A1088" w14:textId="77777777" w:rsidR="00AE1AB4" w:rsidRPr="00CF53B4" w:rsidRDefault="00AE1AB4" w:rsidP="00C56C20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6D69BA0" w14:textId="77777777" w:rsidR="00EC0C83" w:rsidRDefault="00EC0C83" w:rsidP="004321C3">
      <w:pPr>
        <w:tabs>
          <w:tab w:val="left" w:pos="12000"/>
        </w:tabs>
      </w:pPr>
    </w:p>
    <w:p w14:paraId="021D2B6F" w14:textId="77777777" w:rsidR="00684EAC" w:rsidRDefault="00684EAC">
      <w:pPr>
        <w:sectPr w:rsidR="00684EAC" w:rsidSect="00AE1AB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41800CA" w14:textId="77777777" w:rsidR="00684EAC" w:rsidRDefault="00684EAC" w:rsidP="00684EAC">
      <w:pPr>
        <w:spacing w:after="0"/>
        <w:rPr>
          <w:b/>
        </w:rPr>
      </w:pPr>
      <w:r w:rsidRPr="00EC0C83">
        <w:rPr>
          <w:b/>
        </w:rPr>
        <w:lastRenderedPageBreak/>
        <w:t>VAZEBNÍ MATICE INDIKÁTORŮ</w:t>
      </w: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796"/>
        <w:gridCol w:w="4395"/>
        <w:gridCol w:w="1134"/>
        <w:gridCol w:w="1275"/>
      </w:tblGrid>
      <w:tr w:rsidR="00684EAC" w:rsidRPr="00965A84" w14:paraId="11B24927" w14:textId="77777777" w:rsidTr="00AA2356">
        <w:trPr>
          <w:trHeight w:val="68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975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056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Aktivita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C459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C9B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01F0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Možnost kombinace s jinými aktivitami </w:t>
            </w:r>
          </w:p>
        </w:tc>
      </w:tr>
      <w:tr w:rsidR="00684EAC" w:rsidRPr="00965A84" w14:paraId="37E63F0C" w14:textId="77777777" w:rsidTr="00AA2356">
        <w:trPr>
          <w:trHeight w:val="71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2565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7CB" w14:textId="77777777" w:rsidR="00684EAC" w:rsidRPr="00965A84" w:rsidRDefault="00684EAC" w:rsidP="00AA2356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33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Revitalizace sou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boru vybraných památek (</w:t>
            </w:r>
            <w:r w:rsidRPr="008F33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„Památky“)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336" w14:textId="77777777" w:rsidR="00684EAC" w:rsidRPr="00965A84" w:rsidRDefault="00684EAC" w:rsidP="00AA2356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10 05 -  Zvýšení očekávaného počtu návštěv podporovaných kulturních a přírodních památek a atrakcí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EDD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BB81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684EAC" w:rsidRPr="00965A84" w14:paraId="594A9D72" w14:textId="77777777" w:rsidTr="00AA2356">
        <w:trPr>
          <w:trHeight w:val="678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70D7A84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1D48B" w14:textId="77777777" w:rsidR="00684EAC" w:rsidRPr="00965A84" w:rsidRDefault="00684EAC" w:rsidP="00AA2356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A58" w14:textId="77777777" w:rsidR="00684EAC" w:rsidRPr="00965A84" w:rsidRDefault="00684EAC" w:rsidP="00AA2356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05 01 - Počet revitalizovaných památkových objektů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9EE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952D1E1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EAC" w:rsidRPr="00965A84" w14:paraId="333AE456" w14:textId="77777777" w:rsidTr="00AA2356">
        <w:trPr>
          <w:trHeight w:val="6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71028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39E08" w14:textId="77777777" w:rsidR="00684EAC" w:rsidRPr="00EA7D90" w:rsidRDefault="00684EAC" w:rsidP="00AA23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A7D90">
              <w:rPr>
                <w:b/>
                <w:sz w:val="20"/>
                <w:szCs w:val="20"/>
              </w:rPr>
              <w:t xml:space="preserve">Zefektivnění ochrany a využívání sbírkových fondů </w:t>
            </w:r>
            <w:r>
              <w:rPr>
                <w:b/>
                <w:sz w:val="20"/>
                <w:szCs w:val="20"/>
              </w:rPr>
              <w:t>a jejich zpřístupnění (</w:t>
            </w:r>
            <w:r w:rsidRPr="00EA7D90">
              <w:rPr>
                <w:b/>
                <w:sz w:val="20"/>
                <w:szCs w:val="20"/>
              </w:rPr>
              <w:t>„Muzea“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6807" w14:textId="77777777" w:rsidR="00684EAC" w:rsidRPr="00135B63" w:rsidRDefault="00684EAC" w:rsidP="00AA2356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5B63">
              <w:rPr>
                <w:bCs/>
                <w:color w:val="000000"/>
                <w:sz w:val="20"/>
                <w:szCs w:val="20"/>
              </w:rPr>
              <w:t>9 07 03</w:t>
            </w:r>
            <w:r w:rsidRPr="00135B63">
              <w:rPr>
                <w:bCs/>
                <w:color w:val="000000"/>
              </w:rPr>
              <w:t xml:space="preserve"> - </w:t>
            </w:r>
            <w:r w:rsidRPr="00135B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nově zpřístupněných a zefektivněných podsbírek a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D8E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38179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684EAC" w:rsidRPr="00965A84" w14:paraId="3C7BDC28" w14:textId="77777777" w:rsidTr="00AA2356">
        <w:trPr>
          <w:trHeight w:val="7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7DD" w14:textId="77777777" w:rsidR="00684EAC" w:rsidRPr="00965A84" w:rsidRDefault="00684EAC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1436" w14:textId="77777777" w:rsidR="00684EAC" w:rsidRPr="00965A84" w:rsidRDefault="00684EAC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16E4" w14:textId="77777777" w:rsidR="00684EAC" w:rsidRPr="00A21BF8" w:rsidRDefault="00684EAC" w:rsidP="00AA2356">
            <w:pPr>
              <w:spacing w:after="0" w:line="240" w:lineRule="auto"/>
              <w:ind w:left="17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21BF8">
              <w:rPr>
                <w:bCs/>
                <w:color w:val="000000"/>
                <w:sz w:val="20"/>
                <w:szCs w:val="20"/>
              </w:rPr>
              <w:t xml:space="preserve">9 07 10- </w:t>
            </w:r>
            <w:r w:rsidRPr="00A21BF8">
              <w:rPr>
                <w:bCs/>
                <w:caps/>
                <w:color w:val="000000"/>
                <w:sz w:val="20"/>
                <w:szCs w:val="20"/>
              </w:rPr>
              <w:t>P</w:t>
            </w:r>
            <w:r w:rsidRPr="00A21BF8">
              <w:rPr>
                <w:bCs/>
                <w:color w:val="000000"/>
                <w:sz w:val="20"/>
                <w:szCs w:val="20"/>
              </w:rPr>
              <w:t>odíl zpřístupněných a zefektivněných podsbírek a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CFF1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359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84EAC" w:rsidRPr="00965A84" w14:paraId="434AA53E" w14:textId="77777777" w:rsidTr="00AA2356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9C7AA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DBC7E" w14:textId="77777777" w:rsidR="00684EAC" w:rsidRPr="00EA7D90" w:rsidRDefault="00684EAC" w:rsidP="00AA23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A7D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Zefektivnění ochrany a využívání knihovních fondů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a jejich zpřístupnění (</w:t>
            </w:r>
            <w:r w:rsidRPr="00EA7D9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„Knihovny“)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11CE" w14:textId="77777777" w:rsidR="00684EAC" w:rsidRPr="00135B63" w:rsidRDefault="00684EAC" w:rsidP="00AA2356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35B63">
              <w:rPr>
                <w:bCs/>
                <w:color w:val="000000"/>
                <w:sz w:val="20"/>
                <w:szCs w:val="20"/>
              </w:rPr>
              <w:t>9 07 03</w:t>
            </w:r>
            <w:r w:rsidRPr="00135B63">
              <w:rPr>
                <w:bCs/>
                <w:color w:val="000000"/>
              </w:rPr>
              <w:t xml:space="preserve"> - </w:t>
            </w:r>
            <w:r w:rsidRPr="00135B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nově zpřístupněných a zefektivněných podsbírek a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D21F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1B145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684EAC" w:rsidRPr="00965A84" w14:paraId="777BE4FD" w14:textId="77777777" w:rsidTr="00AA2356">
        <w:trPr>
          <w:trHeight w:val="6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1B0F" w14:textId="77777777" w:rsidR="00684EAC" w:rsidRPr="00965A84" w:rsidRDefault="00684EAC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8A1" w14:textId="77777777" w:rsidR="00684EAC" w:rsidRPr="00965A84" w:rsidRDefault="00684EAC" w:rsidP="00AA2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B95" w14:textId="77777777" w:rsidR="00684EAC" w:rsidRPr="00A21BF8" w:rsidRDefault="00684EAC" w:rsidP="00AA2356">
            <w:pPr>
              <w:spacing w:after="0" w:line="240" w:lineRule="auto"/>
              <w:ind w:left="170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21BF8">
              <w:rPr>
                <w:bCs/>
                <w:color w:val="000000"/>
                <w:sz w:val="20"/>
                <w:szCs w:val="20"/>
              </w:rPr>
              <w:t xml:space="preserve">9 07 10- </w:t>
            </w:r>
            <w:r w:rsidRPr="00A21BF8">
              <w:rPr>
                <w:bCs/>
                <w:caps/>
                <w:color w:val="000000"/>
                <w:sz w:val="20"/>
                <w:szCs w:val="20"/>
              </w:rPr>
              <w:t>P</w:t>
            </w:r>
            <w:r w:rsidRPr="00A21BF8">
              <w:rPr>
                <w:bCs/>
                <w:color w:val="000000"/>
                <w:sz w:val="20"/>
                <w:szCs w:val="20"/>
              </w:rPr>
              <w:t>odíl zpřístupněných a zefektivněných podsbírek a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DD4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65A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AAB" w14:textId="77777777" w:rsidR="00684EAC" w:rsidRPr="00965A84" w:rsidRDefault="00684EAC" w:rsidP="00AA2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70CBA10" w14:textId="77777777" w:rsidR="00684EAC" w:rsidRPr="004321C3" w:rsidRDefault="00684EAC" w:rsidP="00684EAC">
      <w:pPr>
        <w:tabs>
          <w:tab w:val="left" w:pos="12000"/>
        </w:tabs>
      </w:pPr>
    </w:p>
    <w:p w14:paraId="6E4AF743" w14:textId="77777777" w:rsidR="00AE1AB4" w:rsidRPr="004321C3" w:rsidRDefault="00AE1AB4" w:rsidP="004321C3">
      <w:pPr>
        <w:tabs>
          <w:tab w:val="left" w:pos="12000"/>
        </w:tabs>
      </w:pPr>
    </w:p>
    <w:sectPr w:rsidR="00AE1AB4" w:rsidRPr="004321C3" w:rsidSect="008C451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D1E0" w14:textId="77777777" w:rsidR="00307EF3" w:rsidRDefault="00307EF3" w:rsidP="00634381">
      <w:pPr>
        <w:spacing w:after="0" w:line="240" w:lineRule="auto"/>
      </w:pPr>
      <w:r>
        <w:separator/>
      </w:r>
    </w:p>
  </w:endnote>
  <w:endnote w:type="continuationSeparator" w:id="0">
    <w:p w14:paraId="3B590AC2" w14:textId="77777777" w:rsidR="00307EF3" w:rsidRDefault="00307EF3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073580"/>
      <w:docPartObj>
        <w:docPartGallery w:val="Page Numbers (Bottom of Page)"/>
        <w:docPartUnique/>
      </w:docPartObj>
    </w:sdtPr>
    <w:sdtEndPr/>
    <w:sdtContent>
      <w:p w14:paraId="579131C7" w14:textId="3BB568FB" w:rsidR="007154BC" w:rsidRDefault="007154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65">
          <w:rPr>
            <w:noProof/>
          </w:rPr>
          <w:t>1</w:t>
        </w:r>
        <w:r>
          <w:fldChar w:fldCharType="end"/>
        </w:r>
      </w:p>
    </w:sdtContent>
  </w:sdt>
  <w:p w14:paraId="782F96A7" w14:textId="77777777" w:rsidR="00671FF9" w:rsidRDefault="00671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E3A5" w14:textId="77777777" w:rsidR="00307EF3" w:rsidRDefault="00307EF3" w:rsidP="00634381">
      <w:pPr>
        <w:spacing w:after="0" w:line="240" w:lineRule="auto"/>
      </w:pPr>
      <w:r>
        <w:separator/>
      </w:r>
    </w:p>
  </w:footnote>
  <w:footnote w:type="continuationSeparator" w:id="0">
    <w:p w14:paraId="40030081" w14:textId="77777777" w:rsidR="00307EF3" w:rsidRDefault="00307EF3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7CE" w14:textId="77777777" w:rsidR="007F5E7A" w:rsidRDefault="007F5E7A" w:rsidP="00C32F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369927" wp14:editId="719E58D7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343BE" w14:textId="77777777" w:rsidR="007F5E7A" w:rsidRDefault="007F5E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6CB6"/>
    <w:multiLevelType w:val="hybridMultilevel"/>
    <w:tmpl w:val="F0082628"/>
    <w:lvl w:ilvl="0" w:tplc="58261064">
      <w:start w:val="1"/>
      <w:numFmt w:val="decimal"/>
      <w:lvlText w:val="%1)"/>
      <w:lvlJc w:val="left"/>
      <w:pPr>
        <w:ind w:left="530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33C1"/>
    <w:multiLevelType w:val="hybridMultilevel"/>
    <w:tmpl w:val="92E4C082"/>
    <w:lvl w:ilvl="0" w:tplc="D3BC70B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93619"/>
    <w:multiLevelType w:val="hybridMultilevel"/>
    <w:tmpl w:val="4B3488F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9291F"/>
    <w:multiLevelType w:val="hybridMultilevel"/>
    <w:tmpl w:val="81AAE41C"/>
    <w:lvl w:ilvl="0" w:tplc="C0E4A466">
      <w:start w:val="1"/>
      <w:numFmt w:val="decimal"/>
      <w:lvlText w:val="%1)"/>
      <w:lvlJc w:val="left"/>
      <w:pPr>
        <w:ind w:left="53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2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2E91281"/>
    <w:multiLevelType w:val="hybridMultilevel"/>
    <w:tmpl w:val="4274B6E8"/>
    <w:lvl w:ilvl="0" w:tplc="678AAE1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2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18"/>
  </w:num>
  <w:num w:numId="10">
    <w:abstractNumId w:val="2"/>
  </w:num>
  <w:num w:numId="11">
    <w:abstractNumId w:val="34"/>
  </w:num>
  <w:num w:numId="12">
    <w:abstractNumId w:val="22"/>
  </w:num>
  <w:num w:numId="13">
    <w:abstractNumId w:val="4"/>
    <w:lvlOverride w:ilvl="0">
      <w:startOverride w:val="1"/>
    </w:lvlOverride>
  </w:num>
  <w:num w:numId="14">
    <w:abstractNumId w:val="27"/>
  </w:num>
  <w:num w:numId="15">
    <w:abstractNumId w:val="6"/>
  </w:num>
  <w:num w:numId="16">
    <w:abstractNumId w:val="24"/>
  </w:num>
  <w:num w:numId="17">
    <w:abstractNumId w:val="23"/>
  </w:num>
  <w:num w:numId="18">
    <w:abstractNumId w:val="9"/>
  </w:num>
  <w:num w:numId="19">
    <w:abstractNumId w:val="28"/>
  </w:num>
  <w:num w:numId="20">
    <w:abstractNumId w:val="33"/>
  </w:num>
  <w:num w:numId="21">
    <w:abstractNumId w:val="7"/>
  </w:num>
  <w:num w:numId="22">
    <w:abstractNumId w:val="14"/>
  </w:num>
  <w:num w:numId="23">
    <w:abstractNumId w:val="8"/>
  </w:num>
  <w:num w:numId="24">
    <w:abstractNumId w:val="29"/>
  </w:num>
  <w:num w:numId="25">
    <w:abstractNumId w:val="36"/>
  </w:num>
  <w:num w:numId="26">
    <w:abstractNumId w:val="1"/>
  </w:num>
  <w:num w:numId="27">
    <w:abstractNumId w:val="30"/>
  </w:num>
  <w:num w:numId="28">
    <w:abstractNumId w:val="0"/>
  </w:num>
  <w:num w:numId="29">
    <w:abstractNumId w:val="19"/>
  </w:num>
  <w:num w:numId="30">
    <w:abstractNumId w:val="20"/>
  </w:num>
  <w:num w:numId="31">
    <w:abstractNumId w:val="16"/>
  </w:num>
  <w:num w:numId="32">
    <w:abstractNumId w:val="21"/>
  </w:num>
  <w:num w:numId="33">
    <w:abstractNumId w:val="31"/>
  </w:num>
  <w:num w:numId="34">
    <w:abstractNumId w:val="35"/>
  </w:num>
  <w:num w:numId="35">
    <w:abstractNumId w:val="25"/>
  </w:num>
  <w:num w:numId="36">
    <w:abstractNumId w:val="17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49C"/>
    <w:rsid w:val="00006FEC"/>
    <w:rsid w:val="00007C56"/>
    <w:rsid w:val="000104CB"/>
    <w:rsid w:val="000122E6"/>
    <w:rsid w:val="00014F63"/>
    <w:rsid w:val="000203C9"/>
    <w:rsid w:val="0002073C"/>
    <w:rsid w:val="00020751"/>
    <w:rsid w:val="00031801"/>
    <w:rsid w:val="00036A3E"/>
    <w:rsid w:val="00040334"/>
    <w:rsid w:val="00041EC8"/>
    <w:rsid w:val="000446C1"/>
    <w:rsid w:val="00053990"/>
    <w:rsid w:val="00057399"/>
    <w:rsid w:val="00057C7F"/>
    <w:rsid w:val="0006044E"/>
    <w:rsid w:val="00060932"/>
    <w:rsid w:val="000646A2"/>
    <w:rsid w:val="00070FE9"/>
    <w:rsid w:val="00074F8D"/>
    <w:rsid w:val="00081154"/>
    <w:rsid w:val="000842A7"/>
    <w:rsid w:val="000855EE"/>
    <w:rsid w:val="000871BA"/>
    <w:rsid w:val="00095F04"/>
    <w:rsid w:val="00096838"/>
    <w:rsid w:val="000969B9"/>
    <w:rsid w:val="000A5D85"/>
    <w:rsid w:val="000A6F55"/>
    <w:rsid w:val="000B5C1F"/>
    <w:rsid w:val="000B5F15"/>
    <w:rsid w:val="000C2DEF"/>
    <w:rsid w:val="000D56C2"/>
    <w:rsid w:val="000D7CA1"/>
    <w:rsid w:val="000E324D"/>
    <w:rsid w:val="000E3E94"/>
    <w:rsid w:val="000E4312"/>
    <w:rsid w:val="000E4DD3"/>
    <w:rsid w:val="000E55E2"/>
    <w:rsid w:val="000E61EE"/>
    <w:rsid w:val="000F3300"/>
    <w:rsid w:val="000F394E"/>
    <w:rsid w:val="000F6876"/>
    <w:rsid w:val="00101F20"/>
    <w:rsid w:val="00106272"/>
    <w:rsid w:val="00106FBD"/>
    <w:rsid w:val="00122F9F"/>
    <w:rsid w:val="00125B33"/>
    <w:rsid w:val="00131ED8"/>
    <w:rsid w:val="001323E4"/>
    <w:rsid w:val="00132CE3"/>
    <w:rsid w:val="00136969"/>
    <w:rsid w:val="00140C24"/>
    <w:rsid w:val="00141C5B"/>
    <w:rsid w:val="00143E11"/>
    <w:rsid w:val="001509EB"/>
    <w:rsid w:val="0015594C"/>
    <w:rsid w:val="00155A3F"/>
    <w:rsid w:val="00167A4E"/>
    <w:rsid w:val="00170FD8"/>
    <w:rsid w:val="001739A8"/>
    <w:rsid w:val="00174CA1"/>
    <w:rsid w:val="001876BE"/>
    <w:rsid w:val="00187E9E"/>
    <w:rsid w:val="001908B7"/>
    <w:rsid w:val="0019255E"/>
    <w:rsid w:val="00193B05"/>
    <w:rsid w:val="001A0B72"/>
    <w:rsid w:val="001A2D53"/>
    <w:rsid w:val="001A33E6"/>
    <w:rsid w:val="001A67A8"/>
    <w:rsid w:val="001B37E4"/>
    <w:rsid w:val="001C424A"/>
    <w:rsid w:val="001D00D6"/>
    <w:rsid w:val="001D2A83"/>
    <w:rsid w:val="001D4569"/>
    <w:rsid w:val="001D7204"/>
    <w:rsid w:val="001D72D8"/>
    <w:rsid w:val="001E18AA"/>
    <w:rsid w:val="001E21FD"/>
    <w:rsid w:val="001E23AB"/>
    <w:rsid w:val="001E2E9A"/>
    <w:rsid w:val="001E6323"/>
    <w:rsid w:val="001F43CB"/>
    <w:rsid w:val="001F53EB"/>
    <w:rsid w:val="002011C3"/>
    <w:rsid w:val="00203ADB"/>
    <w:rsid w:val="00204D9A"/>
    <w:rsid w:val="0020609C"/>
    <w:rsid w:val="002078D3"/>
    <w:rsid w:val="00213558"/>
    <w:rsid w:val="00216AEA"/>
    <w:rsid w:val="0021750B"/>
    <w:rsid w:val="00217805"/>
    <w:rsid w:val="00224083"/>
    <w:rsid w:val="002265AB"/>
    <w:rsid w:val="00231F50"/>
    <w:rsid w:val="0023363A"/>
    <w:rsid w:val="002371D7"/>
    <w:rsid w:val="00237475"/>
    <w:rsid w:val="00245A55"/>
    <w:rsid w:val="00247420"/>
    <w:rsid w:val="00247ACE"/>
    <w:rsid w:val="002522EA"/>
    <w:rsid w:val="002552E9"/>
    <w:rsid w:val="00274658"/>
    <w:rsid w:val="002748BB"/>
    <w:rsid w:val="0027619A"/>
    <w:rsid w:val="00286C01"/>
    <w:rsid w:val="002910FB"/>
    <w:rsid w:val="00295D72"/>
    <w:rsid w:val="002A068C"/>
    <w:rsid w:val="002A160C"/>
    <w:rsid w:val="002A3B9A"/>
    <w:rsid w:val="002A3F0D"/>
    <w:rsid w:val="002B0DDC"/>
    <w:rsid w:val="002B1B8E"/>
    <w:rsid w:val="002B66C7"/>
    <w:rsid w:val="002B6E5A"/>
    <w:rsid w:val="002C177C"/>
    <w:rsid w:val="002C69EC"/>
    <w:rsid w:val="002D2617"/>
    <w:rsid w:val="002D58E0"/>
    <w:rsid w:val="002D65F2"/>
    <w:rsid w:val="002E2E28"/>
    <w:rsid w:val="00301836"/>
    <w:rsid w:val="00304893"/>
    <w:rsid w:val="00305E64"/>
    <w:rsid w:val="00307EF3"/>
    <w:rsid w:val="00312D2D"/>
    <w:rsid w:val="00315E5E"/>
    <w:rsid w:val="00320082"/>
    <w:rsid w:val="00321348"/>
    <w:rsid w:val="0033728D"/>
    <w:rsid w:val="00342070"/>
    <w:rsid w:val="00345415"/>
    <w:rsid w:val="00345F22"/>
    <w:rsid w:val="003560AC"/>
    <w:rsid w:val="0036185E"/>
    <w:rsid w:val="003626F9"/>
    <w:rsid w:val="00364C12"/>
    <w:rsid w:val="003720BE"/>
    <w:rsid w:val="003759C3"/>
    <w:rsid w:val="00377B41"/>
    <w:rsid w:val="00380463"/>
    <w:rsid w:val="00384AF4"/>
    <w:rsid w:val="00390D9A"/>
    <w:rsid w:val="00396465"/>
    <w:rsid w:val="003A031A"/>
    <w:rsid w:val="003A442E"/>
    <w:rsid w:val="003B1000"/>
    <w:rsid w:val="003B35B3"/>
    <w:rsid w:val="003C42E3"/>
    <w:rsid w:val="003C69FD"/>
    <w:rsid w:val="003C6B60"/>
    <w:rsid w:val="00400C7E"/>
    <w:rsid w:val="00401D28"/>
    <w:rsid w:val="00403F58"/>
    <w:rsid w:val="004136C7"/>
    <w:rsid w:val="00415704"/>
    <w:rsid w:val="0041620F"/>
    <w:rsid w:val="00432001"/>
    <w:rsid w:val="004321C3"/>
    <w:rsid w:val="00440507"/>
    <w:rsid w:val="00461264"/>
    <w:rsid w:val="00463CDA"/>
    <w:rsid w:val="00470177"/>
    <w:rsid w:val="00471A9E"/>
    <w:rsid w:val="004730D4"/>
    <w:rsid w:val="00475FF7"/>
    <w:rsid w:val="004770A6"/>
    <w:rsid w:val="00482E02"/>
    <w:rsid w:val="00482EA1"/>
    <w:rsid w:val="004849AE"/>
    <w:rsid w:val="0048501C"/>
    <w:rsid w:val="0049154B"/>
    <w:rsid w:val="004A0682"/>
    <w:rsid w:val="004A1495"/>
    <w:rsid w:val="004A323F"/>
    <w:rsid w:val="004A4BD7"/>
    <w:rsid w:val="004A55CA"/>
    <w:rsid w:val="004B11F4"/>
    <w:rsid w:val="004B73ED"/>
    <w:rsid w:val="004C30B6"/>
    <w:rsid w:val="004C3945"/>
    <w:rsid w:val="004C7C20"/>
    <w:rsid w:val="004D2B5A"/>
    <w:rsid w:val="004D3FF6"/>
    <w:rsid w:val="004E0B7B"/>
    <w:rsid w:val="004E475D"/>
    <w:rsid w:val="004F36C5"/>
    <w:rsid w:val="004F3D4D"/>
    <w:rsid w:val="004F41B7"/>
    <w:rsid w:val="004F54BF"/>
    <w:rsid w:val="00502F35"/>
    <w:rsid w:val="00505BFF"/>
    <w:rsid w:val="0050764F"/>
    <w:rsid w:val="00510B66"/>
    <w:rsid w:val="0051463B"/>
    <w:rsid w:val="00517BF1"/>
    <w:rsid w:val="00520431"/>
    <w:rsid w:val="005211DB"/>
    <w:rsid w:val="00524811"/>
    <w:rsid w:val="00526EDC"/>
    <w:rsid w:val="00527A4B"/>
    <w:rsid w:val="0053120D"/>
    <w:rsid w:val="00540FD1"/>
    <w:rsid w:val="00543561"/>
    <w:rsid w:val="0054520F"/>
    <w:rsid w:val="005453C9"/>
    <w:rsid w:val="00550384"/>
    <w:rsid w:val="00551A21"/>
    <w:rsid w:val="00552D2D"/>
    <w:rsid w:val="005570EA"/>
    <w:rsid w:val="0056072C"/>
    <w:rsid w:val="0056449D"/>
    <w:rsid w:val="00570F8D"/>
    <w:rsid w:val="00576EF1"/>
    <w:rsid w:val="00585341"/>
    <w:rsid w:val="0059013A"/>
    <w:rsid w:val="00592E0A"/>
    <w:rsid w:val="00596086"/>
    <w:rsid w:val="005A160B"/>
    <w:rsid w:val="005B64B6"/>
    <w:rsid w:val="005C36D2"/>
    <w:rsid w:val="005C3EC4"/>
    <w:rsid w:val="005C62B7"/>
    <w:rsid w:val="005C7B83"/>
    <w:rsid w:val="005D34AE"/>
    <w:rsid w:val="005D35EF"/>
    <w:rsid w:val="005D79C8"/>
    <w:rsid w:val="005D7D45"/>
    <w:rsid w:val="005E4C33"/>
    <w:rsid w:val="005E5868"/>
    <w:rsid w:val="005E7F63"/>
    <w:rsid w:val="005F73C9"/>
    <w:rsid w:val="00600A87"/>
    <w:rsid w:val="00601724"/>
    <w:rsid w:val="0060422B"/>
    <w:rsid w:val="00621CAF"/>
    <w:rsid w:val="006221F8"/>
    <w:rsid w:val="00632B48"/>
    <w:rsid w:val="00633805"/>
    <w:rsid w:val="00634381"/>
    <w:rsid w:val="00635464"/>
    <w:rsid w:val="00636E5B"/>
    <w:rsid w:val="00647234"/>
    <w:rsid w:val="00657137"/>
    <w:rsid w:val="00657BFA"/>
    <w:rsid w:val="00671FF9"/>
    <w:rsid w:val="0067736D"/>
    <w:rsid w:val="006803CD"/>
    <w:rsid w:val="00681A20"/>
    <w:rsid w:val="00682152"/>
    <w:rsid w:val="00684EAC"/>
    <w:rsid w:val="00686CF1"/>
    <w:rsid w:val="00694543"/>
    <w:rsid w:val="00695F3D"/>
    <w:rsid w:val="0069719B"/>
    <w:rsid w:val="006B0BFC"/>
    <w:rsid w:val="006B26C8"/>
    <w:rsid w:val="006B3868"/>
    <w:rsid w:val="006B6F8D"/>
    <w:rsid w:val="006B754C"/>
    <w:rsid w:val="006C3518"/>
    <w:rsid w:val="006D015B"/>
    <w:rsid w:val="006D45D6"/>
    <w:rsid w:val="006E2697"/>
    <w:rsid w:val="006E5C82"/>
    <w:rsid w:val="006E72F1"/>
    <w:rsid w:val="006F373A"/>
    <w:rsid w:val="006F4EC1"/>
    <w:rsid w:val="006F5BC8"/>
    <w:rsid w:val="006F63AA"/>
    <w:rsid w:val="0070692C"/>
    <w:rsid w:val="0070695A"/>
    <w:rsid w:val="007154BC"/>
    <w:rsid w:val="00716465"/>
    <w:rsid w:val="00722201"/>
    <w:rsid w:val="00723F80"/>
    <w:rsid w:val="0073650D"/>
    <w:rsid w:val="00745445"/>
    <w:rsid w:val="00745465"/>
    <w:rsid w:val="00747C86"/>
    <w:rsid w:val="00752664"/>
    <w:rsid w:val="0075715C"/>
    <w:rsid w:val="00757238"/>
    <w:rsid w:val="0076431E"/>
    <w:rsid w:val="00766DE9"/>
    <w:rsid w:val="007744D4"/>
    <w:rsid w:val="007754C9"/>
    <w:rsid w:val="00783401"/>
    <w:rsid w:val="007842CE"/>
    <w:rsid w:val="0078505D"/>
    <w:rsid w:val="007A0623"/>
    <w:rsid w:val="007A1EF3"/>
    <w:rsid w:val="007A3E4D"/>
    <w:rsid w:val="007A68CB"/>
    <w:rsid w:val="007B224F"/>
    <w:rsid w:val="007B3057"/>
    <w:rsid w:val="007C0AB0"/>
    <w:rsid w:val="007C2E6A"/>
    <w:rsid w:val="007D2576"/>
    <w:rsid w:val="007D40BA"/>
    <w:rsid w:val="007D63FB"/>
    <w:rsid w:val="007E036F"/>
    <w:rsid w:val="007E53BF"/>
    <w:rsid w:val="007F5E7A"/>
    <w:rsid w:val="007F7FEA"/>
    <w:rsid w:val="00802CAB"/>
    <w:rsid w:val="00805A7F"/>
    <w:rsid w:val="0081042C"/>
    <w:rsid w:val="008168CD"/>
    <w:rsid w:val="008168F4"/>
    <w:rsid w:val="00821AEC"/>
    <w:rsid w:val="00824C5E"/>
    <w:rsid w:val="0083207B"/>
    <w:rsid w:val="00840E61"/>
    <w:rsid w:val="0084320F"/>
    <w:rsid w:val="00844F3C"/>
    <w:rsid w:val="00852EE3"/>
    <w:rsid w:val="00860FEE"/>
    <w:rsid w:val="00864EDA"/>
    <w:rsid w:val="00866B40"/>
    <w:rsid w:val="00867C5D"/>
    <w:rsid w:val="008716F6"/>
    <w:rsid w:val="008812C3"/>
    <w:rsid w:val="00883D4C"/>
    <w:rsid w:val="00884795"/>
    <w:rsid w:val="0088572A"/>
    <w:rsid w:val="00885D11"/>
    <w:rsid w:val="008869F4"/>
    <w:rsid w:val="00891A0B"/>
    <w:rsid w:val="00895CD7"/>
    <w:rsid w:val="00895F34"/>
    <w:rsid w:val="008A3E67"/>
    <w:rsid w:val="008A5F96"/>
    <w:rsid w:val="008A757C"/>
    <w:rsid w:val="008B1015"/>
    <w:rsid w:val="008B606E"/>
    <w:rsid w:val="008C4512"/>
    <w:rsid w:val="008C5A6B"/>
    <w:rsid w:val="008D2053"/>
    <w:rsid w:val="008D56C6"/>
    <w:rsid w:val="008D5E37"/>
    <w:rsid w:val="008E20CB"/>
    <w:rsid w:val="008E41C7"/>
    <w:rsid w:val="008F0C01"/>
    <w:rsid w:val="008F62F1"/>
    <w:rsid w:val="00900F86"/>
    <w:rsid w:val="009055F6"/>
    <w:rsid w:val="009066E9"/>
    <w:rsid w:val="00913873"/>
    <w:rsid w:val="00913C4D"/>
    <w:rsid w:val="0091589C"/>
    <w:rsid w:val="00916B3F"/>
    <w:rsid w:val="00920BF6"/>
    <w:rsid w:val="00920CBF"/>
    <w:rsid w:val="00926380"/>
    <w:rsid w:val="00927293"/>
    <w:rsid w:val="00932304"/>
    <w:rsid w:val="00932786"/>
    <w:rsid w:val="00937AC2"/>
    <w:rsid w:val="00940D94"/>
    <w:rsid w:val="00941215"/>
    <w:rsid w:val="00944056"/>
    <w:rsid w:val="009503F3"/>
    <w:rsid w:val="0095205D"/>
    <w:rsid w:val="00954C7C"/>
    <w:rsid w:val="00957947"/>
    <w:rsid w:val="009607CF"/>
    <w:rsid w:val="00961249"/>
    <w:rsid w:val="00964210"/>
    <w:rsid w:val="009660BA"/>
    <w:rsid w:val="0096682A"/>
    <w:rsid w:val="0098139E"/>
    <w:rsid w:val="00981408"/>
    <w:rsid w:val="009827B3"/>
    <w:rsid w:val="009831B6"/>
    <w:rsid w:val="00984DD5"/>
    <w:rsid w:val="00991CCA"/>
    <w:rsid w:val="00994393"/>
    <w:rsid w:val="009A06A7"/>
    <w:rsid w:val="009B43B5"/>
    <w:rsid w:val="009B4930"/>
    <w:rsid w:val="009B4DCE"/>
    <w:rsid w:val="009C10ED"/>
    <w:rsid w:val="009C1CFC"/>
    <w:rsid w:val="009C2DA4"/>
    <w:rsid w:val="009C6D2E"/>
    <w:rsid w:val="009D003A"/>
    <w:rsid w:val="009D0D96"/>
    <w:rsid w:val="009D6C0D"/>
    <w:rsid w:val="009D7224"/>
    <w:rsid w:val="009E39A6"/>
    <w:rsid w:val="009E4F57"/>
    <w:rsid w:val="009F502A"/>
    <w:rsid w:val="00A14D0F"/>
    <w:rsid w:val="00A23569"/>
    <w:rsid w:val="00A24831"/>
    <w:rsid w:val="00A2583C"/>
    <w:rsid w:val="00A274D8"/>
    <w:rsid w:val="00A33F6A"/>
    <w:rsid w:val="00A46667"/>
    <w:rsid w:val="00A524D9"/>
    <w:rsid w:val="00A54643"/>
    <w:rsid w:val="00A54D1D"/>
    <w:rsid w:val="00A62C1A"/>
    <w:rsid w:val="00A67C37"/>
    <w:rsid w:val="00A72673"/>
    <w:rsid w:val="00A7460E"/>
    <w:rsid w:val="00A7514C"/>
    <w:rsid w:val="00A864F6"/>
    <w:rsid w:val="00A9101B"/>
    <w:rsid w:val="00A927A9"/>
    <w:rsid w:val="00A9350B"/>
    <w:rsid w:val="00A9543E"/>
    <w:rsid w:val="00A97294"/>
    <w:rsid w:val="00AA1DFD"/>
    <w:rsid w:val="00AA548D"/>
    <w:rsid w:val="00AA6E68"/>
    <w:rsid w:val="00AB060B"/>
    <w:rsid w:val="00AB577F"/>
    <w:rsid w:val="00AD2919"/>
    <w:rsid w:val="00AD2955"/>
    <w:rsid w:val="00AD330F"/>
    <w:rsid w:val="00AD38D5"/>
    <w:rsid w:val="00AD4BA8"/>
    <w:rsid w:val="00AD6B01"/>
    <w:rsid w:val="00AD7F4F"/>
    <w:rsid w:val="00AE1AB4"/>
    <w:rsid w:val="00AE27FC"/>
    <w:rsid w:val="00AE752A"/>
    <w:rsid w:val="00AE779A"/>
    <w:rsid w:val="00AF4367"/>
    <w:rsid w:val="00AF58B6"/>
    <w:rsid w:val="00B00811"/>
    <w:rsid w:val="00B016C2"/>
    <w:rsid w:val="00B16D35"/>
    <w:rsid w:val="00B275A4"/>
    <w:rsid w:val="00B32019"/>
    <w:rsid w:val="00B32AB8"/>
    <w:rsid w:val="00B4155E"/>
    <w:rsid w:val="00B45F31"/>
    <w:rsid w:val="00B532DD"/>
    <w:rsid w:val="00B53ED0"/>
    <w:rsid w:val="00B55EB2"/>
    <w:rsid w:val="00B56300"/>
    <w:rsid w:val="00B5632A"/>
    <w:rsid w:val="00B61D1D"/>
    <w:rsid w:val="00B61E6F"/>
    <w:rsid w:val="00B63370"/>
    <w:rsid w:val="00B658A0"/>
    <w:rsid w:val="00B66669"/>
    <w:rsid w:val="00B67140"/>
    <w:rsid w:val="00B7197B"/>
    <w:rsid w:val="00B7407F"/>
    <w:rsid w:val="00B8276E"/>
    <w:rsid w:val="00B83E2D"/>
    <w:rsid w:val="00B84EB9"/>
    <w:rsid w:val="00B853ED"/>
    <w:rsid w:val="00B86905"/>
    <w:rsid w:val="00B877FD"/>
    <w:rsid w:val="00B90FFE"/>
    <w:rsid w:val="00B92155"/>
    <w:rsid w:val="00B92BD5"/>
    <w:rsid w:val="00B93D8B"/>
    <w:rsid w:val="00B97B6B"/>
    <w:rsid w:val="00BA6D33"/>
    <w:rsid w:val="00BB29F9"/>
    <w:rsid w:val="00BB3F6E"/>
    <w:rsid w:val="00BC28CC"/>
    <w:rsid w:val="00BD5865"/>
    <w:rsid w:val="00BE31D1"/>
    <w:rsid w:val="00BE5263"/>
    <w:rsid w:val="00BF165A"/>
    <w:rsid w:val="00BF224D"/>
    <w:rsid w:val="00BF36D3"/>
    <w:rsid w:val="00C02793"/>
    <w:rsid w:val="00C053B0"/>
    <w:rsid w:val="00C05510"/>
    <w:rsid w:val="00C0586B"/>
    <w:rsid w:val="00C144C5"/>
    <w:rsid w:val="00C15944"/>
    <w:rsid w:val="00C15DF1"/>
    <w:rsid w:val="00C23F14"/>
    <w:rsid w:val="00C24C75"/>
    <w:rsid w:val="00C263D2"/>
    <w:rsid w:val="00C26C13"/>
    <w:rsid w:val="00C32FFD"/>
    <w:rsid w:val="00C346E3"/>
    <w:rsid w:val="00C36870"/>
    <w:rsid w:val="00C40FAF"/>
    <w:rsid w:val="00C44907"/>
    <w:rsid w:val="00C461DE"/>
    <w:rsid w:val="00C533FF"/>
    <w:rsid w:val="00C60D2C"/>
    <w:rsid w:val="00C61088"/>
    <w:rsid w:val="00C74D24"/>
    <w:rsid w:val="00C75F21"/>
    <w:rsid w:val="00C84441"/>
    <w:rsid w:val="00C85696"/>
    <w:rsid w:val="00C97221"/>
    <w:rsid w:val="00C973F7"/>
    <w:rsid w:val="00CA031E"/>
    <w:rsid w:val="00CA0A1D"/>
    <w:rsid w:val="00CA0E71"/>
    <w:rsid w:val="00CB46D3"/>
    <w:rsid w:val="00CB5B06"/>
    <w:rsid w:val="00CC21DF"/>
    <w:rsid w:val="00CD005F"/>
    <w:rsid w:val="00CD3A46"/>
    <w:rsid w:val="00CD7688"/>
    <w:rsid w:val="00CE51DB"/>
    <w:rsid w:val="00CE5EF4"/>
    <w:rsid w:val="00CE7B1F"/>
    <w:rsid w:val="00CF4451"/>
    <w:rsid w:val="00CF47C5"/>
    <w:rsid w:val="00CF489E"/>
    <w:rsid w:val="00CF5985"/>
    <w:rsid w:val="00D01919"/>
    <w:rsid w:val="00D1085C"/>
    <w:rsid w:val="00D215FA"/>
    <w:rsid w:val="00D2335B"/>
    <w:rsid w:val="00D26D04"/>
    <w:rsid w:val="00D33570"/>
    <w:rsid w:val="00D405F9"/>
    <w:rsid w:val="00D41108"/>
    <w:rsid w:val="00D50614"/>
    <w:rsid w:val="00D50E66"/>
    <w:rsid w:val="00D55325"/>
    <w:rsid w:val="00D7041A"/>
    <w:rsid w:val="00D72354"/>
    <w:rsid w:val="00D7481E"/>
    <w:rsid w:val="00D74DEE"/>
    <w:rsid w:val="00D77E91"/>
    <w:rsid w:val="00D87C4A"/>
    <w:rsid w:val="00D91825"/>
    <w:rsid w:val="00D97C27"/>
    <w:rsid w:val="00DA234F"/>
    <w:rsid w:val="00DA4909"/>
    <w:rsid w:val="00DA5275"/>
    <w:rsid w:val="00DA67EE"/>
    <w:rsid w:val="00DB20F3"/>
    <w:rsid w:val="00DB4F4A"/>
    <w:rsid w:val="00DB52B5"/>
    <w:rsid w:val="00DB5C0A"/>
    <w:rsid w:val="00DC2391"/>
    <w:rsid w:val="00DC2B24"/>
    <w:rsid w:val="00DD4396"/>
    <w:rsid w:val="00DE2E3C"/>
    <w:rsid w:val="00DE4F12"/>
    <w:rsid w:val="00DF75FE"/>
    <w:rsid w:val="00DF7BD8"/>
    <w:rsid w:val="00E0030D"/>
    <w:rsid w:val="00E0113F"/>
    <w:rsid w:val="00E11701"/>
    <w:rsid w:val="00E12E0A"/>
    <w:rsid w:val="00E15465"/>
    <w:rsid w:val="00E20FDB"/>
    <w:rsid w:val="00E22F5E"/>
    <w:rsid w:val="00E2345E"/>
    <w:rsid w:val="00E3287B"/>
    <w:rsid w:val="00E41549"/>
    <w:rsid w:val="00E45C73"/>
    <w:rsid w:val="00E61590"/>
    <w:rsid w:val="00E67D4D"/>
    <w:rsid w:val="00E70F7D"/>
    <w:rsid w:val="00E75022"/>
    <w:rsid w:val="00E86085"/>
    <w:rsid w:val="00E86636"/>
    <w:rsid w:val="00E8725E"/>
    <w:rsid w:val="00E90F95"/>
    <w:rsid w:val="00E91466"/>
    <w:rsid w:val="00EA0F05"/>
    <w:rsid w:val="00EA1C59"/>
    <w:rsid w:val="00EA308F"/>
    <w:rsid w:val="00EA3440"/>
    <w:rsid w:val="00EB0EA0"/>
    <w:rsid w:val="00EB382C"/>
    <w:rsid w:val="00EB4303"/>
    <w:rsid w:val="00EC0C83"/>
    <w:rsid w:val="00EC190D"/>
    <w:rsid w:val="00EC1E0F"/>
    <w:rsid w:val="00EC741C"/>
    <w:rsid w:val="00EC74FE"/>
    <w:rsid w:val="00EC78F1"/>
    <w:rsid w:val="00ED09EB"/>
    <w:rsid w:val="00ED0C61"/>
    <w:rsid w:val="00ED676D"/>
    <w:rsid w:val="00EE0A6C"/>
    <w:rsid w:val="00EF10F1"/>
    <w:rsid w:val="00F00CDB"/>
    <w:rsid w:val="00F02008"/>
    <w:rsid w:val="00F056D6"/>
    <w:rsid w:val="00F07A36"/>
    <w:rsid w:val="00F07C4C"/>
    <w:rsid w:val="00F11638"/>
    <w:rsid w:val="00F16A20"/>
    <w:rsid w:val="00F30228"/>
    <w:rsid w:val="00F3097F"/>
    <w:rsid w:val="00F31455"/>
    <w:rsid w:val="00F320F9"/>
    <w:rsid w:val="00F33CAB"/>
    <w:rsid w:val="00F34FF0"/>
    <w:rsid w:val="00F41C53"/>
    <w:rsid w:val="00F422E8"/>
    <w:rsid w:val="00F56AD3"/>
    <w:rsid w:val="00F62882"/>
    <w:rsid w:val="00F634EA"/>
    <w:rsid w:val="00F656CA"/>
    <w:rsid w:val="00F70BB4"/>
    <w:rsid w:val="00F827B6"/>
    <w:rsid w:val="00F92A9F"/>
    <w:rsid w:val="00FA16D3"/>
    <w:rsid w:val="00FA3B30"/>
    <w:rsid w:val="00FA7C89"/>
    <w:rsid w:val="00FA7F41"/>
    <w:rsid w:val="00FB613E"/>
    <w:rsid w:val="00FB6BF0"/>
    <w:rsid w:val="00FC2854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EDB1CB"/>
  <w15:docId w15:val="{9015BAE4-4706-4D05-9C94-1A5E433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text">
    <w:name w:val="*text"/>
    <w:basedOn w:val="Normln"/>
    <w:link w:val="textChar"/>
    <w:qFormat/>
    <w:rsid w:val="001A0B72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1A0B72"/>
  </w:style>
  <w:style w:type="paragraph" w:customStyle="1" w:styleId="Default">
    <w:name w:val="Default"/>
    <w:rsid w:val="00B1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9924-6482-476F-BA33-F921708F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2221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34</cp:revision>
  <cp:lastPrinted>2016-10-05T11:23:00Z</cp:lastPrinted>
  <dcterms:created xsi:type="dcterms:W3CDTF">2016-03-30T11:11:00Z</dcterms:created>
  <dcterms:modified xsi:type="dcterms:W3CDTF">2018-09-07T08:00:00Z</dcterms:modified>
</cp:coreProperties>
</file>